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asciiTheme="minorEastAsia" w:hAnsiTheme="minorEastAsia" w:eastAsiaTheme="minorEastAsia"/>
          <w:b/>
          <w:sz w:val="36"/>
          <w:szCs w:val="36"/>
          <w:lang w:val="zh-CN"/>
        </w:rPr>
      </w:pPr>
      <w:r/>
      <w:bookmarkStart w:id="0" w:name="OLE_LINK66"/>
      <w:r>
        <w:rPr>
          <w:rFonts w:hint="eastAsia" w:cs="黑体" w:asciiTheme="minorEastAsia" w:hAnsiTheme="minorEastAsia" w:eastAsiaTheme="minorEastAsia"/>
          <w:b/>
          <w:bCs/>
          <w:sz w:val="36"/>
          <w:szCs w:val="36"/>
        </w:rPr>
        <w:t xml:space="preserve">玄武区2050城市发展战略研究</w:t>
      </w:r>
      <w:bookmarkEnd w:id="0"/>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项目编号：JSZC-320102-JSGC-G2025-0089 </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采购人：南京市玄武区发展和改革委员会</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sz w:val="36"/>
          <w:szCs w:val="36"/>
        </w:rPr>
        <w:t xml:space="preserve">2</w:t>
      </w:r>
      <w:r>
        <w:rPr>
          <w:rFonts w:ascii="宋体" w:hAnsi="宋体" w:cs="宋体"/>
          <w:b/>
          <w:bCs/>
          <w:sz w:val="36"/>
          <w:szCs w:val="36"/>
        </w:rPr>
        <w:t xml:space="preserve">02</w:t>
      </w:r>
      <w:r>
        <w:rPr>
          <w:rFonts w:hint="eastAsia" w:ascii="宋体" w:hAnsi="宋体" w:cs="宋体"/>
          <w:b/>
          <w:bCs/>
          <w:sz w:val="36"/>
          <w:szCs w:val="36"/>
        </w:rPr>
        <w:t xml:space="preserve">5年11月</w:t>
      </w:r>
      <w:r>
        <w:rPr>
          <w:rFonts w:hint="eastAsia" w:cs="宋体" w:asciiTheme="minorEastAsia" w:hAnsiTheme="minorEastAsia" w:eastAsiaTheme="minorEastAsia"/>
          <w:b/>
          <w:bCs/>
          <w:sz w:val="36"/>
          <w:szCs w:val="36"/>
        </w:rPr>
        <w:t xml:space="preserve">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3"/>
            <w:jc w:val="center"/>
            <w:rPr>
              <w:rFonts w:hint="eastAsia" w:asciiTheme="minorEastAsia" w:hAnsiTheme="minorEastAsia" w:eastAsiaTheme="minorEastAsia"/>
              <w:b/>
              <w:bCs/>
              <w:color w:val="auto"/>
            </w:rPr>
          </w:pPr>
          <w:r/>
          <w:bookmarkStart w:id="159" w:name="_GoBack"/>
          <w:r/>
          <w:bookmarkEnd w:id="159"/>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923"/>
            <w:tabs>
              <w:tab w:val="right" w:pos="9026" w:leader="dot"/>
            </w:tabs>
            <w:rPr>
              <w:b/>
              <w:bCs/>
              <w:sz w:val="32"/>
              <w:szCs w:val="40"/>
            </w:rPr>
          </w:pPr>
          <w:r>
            <w:rPr>
              <w:rFonts w:asciiTheme="minorEastAsia" w:hAnsiTheme="minorEastAsia" w:eastAsiaTheme="minorEastAsia"/>
              <w:b/>
              <w:bCs/>
              <w:sz w:val="44"/>
              <w:szCs w:val="44"/>
            </w:rPr>
            <w:fldChar w:fldCharType="begin"/>
          </w:r>
          <w:r>
            <w:rPr>
              <w:rFonts w:asciiTheme="minorEastAsia" w:hAnsiTheme="minorEastAsia" w:eastAsiaTheme="minorEastAsia"/>
              <w:b/>
              <w:bCs/>
              <w:sz w:val="44"/>
              <w:szCs w:val="44"/>
            </w:rPr>
            <w:instrText xml:space="preserve"> TOC \o "1-1" \h \z \u </w:instrText>
          </w:r>
          <w:r>
            <w:rPr>
              <w:rFonts w:asciiTheme="minorEastAsia" w:hAnsiTheme="minorEastAsia" w:eastAsiaTheme="minorEastAsia"/>
              <w:b/>
              <w:bCs/>
              <w:sz w:val="44"/>
              <w:szCs w:val="44"/>
            </w:rPr>
            <w:fldChar w:fldCharType="separate"/>
          </w: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_Toc11236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第一章 招标公告</w:t>
          </w:r>
          <w:r>
            <w:rPr>
              <w:b/>
              <w:bCs/>
              <w:sz w:val="32"/>
              <w:szCs w:val="40"/>
            </w:rPr>
            <w:tab/>
          </w:r>
          <w:r>
            <w:rPr>
              <w:b/>
              <w:bCs/>
              <w:sz w:val="32"/>
              <w:szCs w:val="40"/>
            </w:rPr>
            <w:fldChar w:fldCharType="begin"/>
          </w:r>
          <w:r>
            <w:rPr>
              <w:b/>
              <w:bCs/>
              <w:sz w:val="32"/>
              <w:szCs w:val="40"/>
            </w:rPr>
            <w:instrText xml:space="preserve"> PAGEREF _Toc11236 \h </w:instrText>
          </w:r>
          <w:r>
            <w:rPr>
              <w:b/>
              <w:bCs/>
              <w:sz w:val="32"/>
              <w:szCs w:val="40"/>
            </w:rPr>
            <w:fldChar w:fldCharType="separate"/>
          </w:r>
          <w:r>
            <w:rPr>
              <w:b/>
              <w:bCs/>
              <w:sz w:val="32"/>
              <w:szCs w:val="40"/>
            </w:rPr>
            <w:t xml:space="preserve">1</w:t>
          </w:r>
          <w:r>
            <w:rPr>
              <w:b/>
              <w:bCs/>
              <w:sz w:val="32"/>
              <w:szCs w:val="40"/>
            </w:rPr>
            <w:fldChar w:fldCharType="end"/>
          </w:r>
          <w:r>
            <w:rPr>
              <w:rFonts w:asciiTheme="minorEastAsia" w:hAnsiTheme="minorEastAsia" w:eastAsiaTheme="minorEastAsia"/>
              <w:b/>
              <w:bCs/>
              <w:sz w:val="32"/>
              <w:szCs w:val="44"/>
            </w:rPr>
            <w:fldChar w:fldCharType="end"/>
          </w:r>
          <w:r/>
        </w:p>
        <w:p>
          <w:pPr>
            <w:pStyle w:val="923"/>
            <w:tabs>
              <w:tab w:val="right" w:pos="9026"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_Toc27750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第二章 投标人须知</w:t>
          </w:r>
          <w:r>
            <w:rPr>
              <w:b/>
              <w:bCs/>
              <w:sz w:val="32"/>
              <w:szCs w:val="40"/>
            </w:rPr>
            <w:tab/>
          </w:r>
          <w:r>
            <w:rPr>
              <w:b/>
              <w:bCs/>
              <w:sz w:val="32"/>
              <w:szCs w:val="40"/>
            </w:rPr>
            <w:fldChar w:fldCharType="begin"/>
          </w:r>
          <w:r>
            <w:rPr>
              <w:b/>
              <w:bCs/>
              <w:sz w:val="32"/>
              <w:szCs w:val="40"/>
            </w:rPr>
            <w:instrText xml:space="preserve"> PAGEREF _Toc27750 \h </w:instrText>
          </w:r>
          <w:r>
            <w:rPr>
              <w:b/>
              <w:bCs/>
              <w:sz w:val="32"/>
              <w:szCs w:val="40"/>
            </w:rPr>
            <w:fldChar w:fldCharType="separate"/>
          </w:r>
          <w:r>
            <w:rPr>
              <w:b/>
              <w:bCs/>
              <w:sz w:val="32"/>
              <w:szCs w:val="40"/>
            </w:rPr>
            <w:t xml:space="preserve">5</w:t>
          </w:r>
          <w:r>
            <w:rPr>
              <w:b/>
              <w:bCs/>
              <w:sz w:val="32"/>
              <w:szCs w:val="40"/>
            </w:rPr>
            <w:fldChar w:fldCharType="end"/>
          </w:r>
          <w:r>
            <w:rPr>
              <w:rFonts w:asciiTheme="minorEastAsia" w:hAnsiTheme="minorEastAsia" w:eastAsiaTheme="minorEastAsia"/>
              <w:b/>
              <w:bCs/>
              <w:sz w:val="32"/>
              <w:szCs w:val="44"/>
            </w:rPr>
            <w:fldChar w:fldCharType="end"/>
          </w:r>
          <w:r/>
        </w:p>
        <w:p>
          <w:pPr>
            <w:pStyle w:val="923"/>
            <w:tabs>
              <w:tab w:val="right" w:pos="9026"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_Toc18113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highlight w:val="none"/>
            </w:rPr>
            <w:t xml:space="preserve">第三章 评标标准</w:t>
          </w:r>
          <w:r>
            <w:rPr>
              <w:b/>
              <w:bCs/>
              <w:sz w:val="32"/>
              <w:szCs w:val="40"/>
            </w:rPr>
            <w:tab/>
          </w:r>
          <w:r>
            <w:rPr>
              <w:b/>
              <w:bCs/>
              <w:sz w:val="32"/>
              <w:szCs w:val="40"/>
            </w:rPr>
            <w:fldChar w:fldCharType="begin"/>
          </w:r>
          <w:r>
            <w:rPr>
              <w:b/>
              <w:bCs/>
              <w:sz w:val="32"/>
              <w:szCs w:val="40"/>
            </w:rPr>
            <w:instrText xml:space="preserve"> PAGEREF _Toc18113 \h </w:instrText>
          </w:r>
          <w:r>
            <w:rPr>
              <w:b/>
              <w:bCs/>
              <w:sz w:val="32"/>
              <w:szCs w:val="40"/>
            </w:rPr>
            <w:fldChar w:fldCharType="separate"/>
          </w:r>
          <w:r>
            <w:rPr>
              <w:b/>
              <w:bCs/>
              <w:sz w:val="32"/>
              <w:szCs w:val="40"/>
            </w:rPr>
            <w:t xml:space="preserve">16</w:t>
          </w:r>
          <w:r>
            <w:rPr>
              <w:b/>
              <w:bCs/>
              <w:sz w:val="32"/>
              <w:szCs w:val="40"/>
            </w:rPr>
            <w:fldChar w:fldCharType="end"/>
          </w:r>
          <w:r>
            <w:rPr>
              <w:rFonts w:asciiTheme="minorEastAsia" w:hAnsiTheme="minorEastAsia" w:eastAsiaTheme="minorEastAsia"/>
              <w:b/>
              <w:bCs/>
              <w:sz w:val="32"/>
              <w:szCs w:val="44"/>
            </w:rPr>
            <w:fldChar w:fldCharType="end"/>
          </w:r>
          <w:r/>
        </w:p>
        <w:p>
          <w:pPr>
            <w:pStyle w:val="923"/>
            <w:tabs>
              <w:tab w:val="right" w:pos="9026"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_Toc22972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第四章 采购项目的内容和相关技术要求等</w:t>
          </w:r>
          <w:r>
            <w:rPr>
              <w:b/>
              <w:bCs/>
              <w:sz w:val="32"/>
              <w:szCs w:val="40"/>
            </w:rPr>
            <w:tab/>
          </w:r>
          <w:r>
            <w:rPr>
              <w:b/>
              <w:bCs/>
              <w:sz w:val="32"/>
              <w:szCs w:val="40"/>
            </w:rPr>
            <w:fldChar w:fldCharType="begin"/>
          </w:r>
          <w:r>
            <w:rPr>
              <w:b/>
              <w:bCs/>
              <w:sz w:val="32"/>
              <w:szCs w:val="40"/>
            </w:rPr>
            <w:instrText xml:space="preserve"> PAGEREF _Toc22972 \h </w:instrText>
          </w:r>
          <w:r>
            <w:rPr>
              <w:b/>
              <w:bCs/>
              <w:sz w:val="32"/>
              <w:szCs w:val="40"/>
            </w:rPr>
            <w:fldChar w:fldCharType="separate"/>
          </w:r>
          <w:r>
            <w:rPr>
              <w:b/>
              <w:bCs/>
              <w:sz w:val="32"/>
              <w:szCs w:val="40"/>
            </w:rPr>
            <w:t xml:space="preserve">21</w:t>
          </w:r>
          <w:r>
            <w:rPr>
              <w:b/>
              <w:bCs/>
              <w:sz w:val="32"/>
              <w:szCs w:val="40"/>
            </w:rPr>
            <w:fldChar w:fldCharType="end"/>
          </w:r>
          <w:r>
            <w:rPr>
              <w:rFonts w:asciiTheme="minorEastAsia" w:hAnsiTheme="minorEastAsia" w:eastAsiaTheme="minorEastAsia"/>
              <w:b/>
              <w:bCs/>
              <w:sz w:val="32"/>
              <w:szCs w:val="44"/>
            </w:rPr>
            <w:fldChar w:fldCharType="end"/>
          </w:r>
          <w:r/>
        </w:p>
        <w:p>
          <w:pPr>
            <w:pStyle w:val="923"/>
            <w:tabs>
              <w:tab w:val="right" w:pos="9026"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_Toc6554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第五章 合同主要条款及格式</w:t>
          </w:r>
          <w:r>
            <w:rPr>
              <w:b/>
              <w:bCs/>
              <w:sz w:val="32"/>
              <w:szCs w:val="40"/>
            </w:rPr>
            <w:tab/>
          </w:r>
          <w:r>
            <w:rPr>
              <w:b/>
              <w:bCs/>
              <w:sz w:val="32"/>
              <w:szCs w:val="40"/>
            </w:rPr>
            <w:fldChar w:fldCharType="begin"/>
          </w:r>
          <w:r>
            <w:rPr>
              <w:b/>
              <w:bCs/>
              <w:sz w:val="32"/>
              <w:szCs w:val="40"/>
            </w:rPr>
            <w:instrText xml:space="preserve"> PAGEREF _Toc6554 \h </w:instrText>
          </w:r>
          <w:r>
            <w:rPr>
              <w:b/>
              <w:bCs/>
              <w:sz w:val="32"/>
              <w:szCs w:val="40"/>
            </w:rPr>
            <w:fldChar w:fldCharType="separate"/>
          </w:r>
          <w:r>
            <w:rPr>
              <w:b/>
              <w:bCs/>
              <w:sz w:val="32"/>
              <w:szCs w:val="40"/>
            </w:rPr>
            <w:t xml:space="preserve">25</w:t>
          </w:r>
          <w:r>
            <w:rPr>
              <w:b/>
              <w:bCs/>
              <w:sz w:val="32"/>
              <w:szCs w:val="40"/>
            </w:rPr>
            <w:fldChar w:fldCharType="end"/>
          </w:r>
          <w:r>
            <w:rPr>
              <w:rFonts w:asciiTheme="minorEastAsia" w:hAnsiTheme="minorEastAsia" w:eastAsiaTheme="minorEastAsia"/>
              <w:b/>
              <w:bCs/>
              <w:sz w:val="32"/>
              <w:szCs w:val="44"/>
            </w:rPr>
            <w:fldChar w:fldCharType="end"/>
          </w:r>
          <w:r/>
        </w:p>
        <w:p>
          <w:pPr>
            <w:pStyle w:val="923"/>
            <w:tabs>
              <w:tab w:val="right" w:pos="9026"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_Toc4802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第六章 投标文件格式</w:t>
          </w:r>
          <w:r>
            <w:rPr>
              <w:b/>
              <w:bCs/>
              <w:sz w:val="32"/>
              <w:szCs w:val="40"/>
            </w:rPr>
            <w:tab/>
          </w:r>
          <w:r>
            <w:rPr>
              <w:b/>
              <w:bCs/>
              <w:sz w:val="32"/>
              <w:szCs w:val="40"/>
            </w:rPr>
            <w:fldChar w:fldCharType="begin"/>
          </w:r>
          <w:r>
            <w:rPr>
              <w:b/>
              <w:bCs/>
              <w:sz w:val="32"/>
              <w:szCs w:val="40"/>
            </w:rPr>
            <w:instrText xml:space="preserve"> PAGEREF _Toc4802 \h </w:instrText>
          </w:r>
          <w:r>
            <w:rPr>
              <w:b/>
              <w:bCs/>
              <w:sz w:val="32"/>
              <w:szCs w:val="40"/>
            </w:rPr>
            <w:fldChar w:fldCharType="separate"/>
          </w:r>
          <w:r>
            <w:rPr>
              <w:b/>
              <w:bCs/>
              <w:sz w:val="32"/>
              <w:szCs w:val="40"/>
            </w:rPr>
            <w:t xml:space="preserve">29</w:t>
          </w:r>
          <w:r>
            <w:rPr>
              <w:b/>
              <w:bCs/>
              <w:sz w:val="32"/>
              <w:szCs w:val="40"/>
            </w:rPr>
            <w:fldChar w:fldCharType="end"/>
          </w:r>
          <w:r>
            <w:rPr>
              <w:rFonts w:asciiTheme="minorEastAsia" w:hAnsiTheme="minorEastAsia" w:eastAsiaTheme="minorEastAsia"/>
              <w:b/>
              <w:bCs/>
              <w:sz w:val="32"/>
              <w:szCs w:val="44"/>
            </w:rPr>
            <w:fldChar w:fldCharType="end"/>
          </w:r>
          <w:r/>
        </w:p>
        <w:p>
          <w:pPr>
            <w:rPr>
              <w:rFonts w:hint="eastAsia" w:asciiTheme="minorEastAsia" w:hAnsiTheme="minorEastAsia" w:eastAsiaTheme="minorEastAsia"/>
              <w:b/>
              <w:bCs/>
              <w:sz w:val="32"/>
              <w:szCs w:val="40"/>
            </w:rPr>
          </w:pPr>
          <w:r>
            <w:rPr>
              <w:rFonts w:asciiTheme="minorEastAsia" w:hAnsiTheme="minorEastAsia" w:eastAsiaTheme="minorEastAsia"/>
              <w:b/>
              <w:bCs/>
              <w:sz w:val="32"/>
              <w:szCs w:val="44"/>
            </w:rPr>
            <w:fldChar w:fldCharType="end"/>
          </w:r>
          <w:r/>
        </w:p>
      </w:sdtContent>
    </w:sdt>
    <w:p>
      <w:pPr>
        <w:pStyle w:val="923"/>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923"/>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90"/>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29007"/>
      <w:r/>
      <w:bookmarkStart w:id="2" w:name="_Toc481057143"/>
      <w:r/>
      <w:bookmarkStart w:id="3" w:name="_Hlk43897905"/>
      <w:r>
        <w:rPr>
          <w:rFonts w:hint="eastAsia" w:asciiTheme="minorEastAsia" w:hAnsiTheme="minorEastAsia" w:eastAsiaTheme="minorEastAsia"/>
        </w:rPr>
        <w:t xml:space="preserve"> </w:t>
      </w:r>
      <w:bookmarkStart w:id="4" w:name="_Toc11236"/>
      <w:r>
        <w:rPr>
          <w:rFonts w:hint="eastAsia" w:asciiTheme="minorEastAsia" w:hAnsiTheme="minorEastAsia" w:eastAsiaTheme="minorEastAsia"/>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Arial" w:asciiTheme="minorEastAsia" w:hAnsiTheme="minorEastAsia" w:eastAsiaTheme="minorEastAsia"/>
          <w:b/>
          <w:szCs w:val="21"/>
        </w:rPr>
        <w:pBdr>
          <w:top w:val="single" w:color="auto" w:sz="4" w:space="1"/>
          <w:left w:val="single" w:color="auto" w:sz="4" w:space="4"/>
          <w:bottom w:val="single" w:color="auto" w:sz="4" w:space="1"/>
          <w:right w:val="single" w:color="auto" w:sz="4" w:space="4"/>
        </w:pBdr>
      </w:pPr>
      <w:r>
        <w:rPr>
          <w:rFonts w:hint="eastAsia" w:ascii="宋体" w:hAnsi="宋体" w:cs="宋体"/>
          <w:spacing w:val="8"/>
        </w:rPr>
        <w:t xml:space="preserve">玄武区2050城市发展战略研究 JSZC-320102-JSGC-G2025-0089</w:t>
      </w:r>
      <w:r>
        <w:rPr>
          <w:rFonts w:hint="eastAsia" w:ascii="宋体" w:hAnsi="宋体" w:cs="宋体"/>
        </w:rPr>
        <w:t xml:space="preserve"> </w:t>
      </w:r>
      <w:r>
        <w:rPr>
          <w:rFonts w:hint="eastAsia" w:ascii="宋体" w:hAnsi="宋体" w:cs="宋体"/>
          <w:spacing w:val="8"/>
        </w:rPr>
        <w:t xml:space="preserve">招标项目的潜在投标人应在江苏政府采购网“苏采云”系统获取招标文件，并于2025年12月</w:t>
      </w:r>
      <w:r>
        <w:rPr>
          <w:rFonts w:hint="eastAsia" w:ascii="宋体" w:hAnsi="宋体" w:cs="宋体"/>
          <w:spacing w:val="8"/>
          <w:lang w:val="en-US" w:eastAsia="zh-CN"/>
        </w:rPr>
        <w:t xml:space="preserve">10</w:t>
      </w:r>
      <w:r>
        <w:rPr>
          <w:rFonts w:hint="eastAsia" w:ascii="宋体" w:hAnsi="宋体" w:cs="宋体"/>
          <w:spacing w:val="8"/>
        </w:rPr>
        <w:t xml:space="preserve">日0</w:t>
      </w:r>
      <w:r>
        <w:rPr>
          <w:rFonts w:ascii="宋体" w:hAnsi="宋体" w:cs="宋体"/>
          <w:spacing w:val="8"/>
        </w:rPr>
        <w:t xml:space="preserve">9</w:t>
      </w:r>
      <w:r>
        <w:rPr>
          <w:rFonts w:hint="eastAsia" w:ascii="宋体" w:hAnsi="宋体" w:cs="宋体"/>
          <w:spacing w:val="8"/>
        </w:rPr>
        <w:t xml:space="preserve">:</w:t>
      </w:r>
      <w:r>
        <w:rPr>
          <w:rFonts w:ascii="宋体" w:hAnsi="宋体" w:cs="宋体"/>
          <w:spacing w:val="8"/>
        </w:rPr>
        <w:t xml:space="preserve">3</w:t>
      </w:r>
      <w:r>
        <w:rPr>
          <w:rFonts w:hint="eastAsia" w:ascii="宋体" w:hAnsi="宋体" w:cs="宋体"/>
          <w:spacing w:val="8"/>
        </w:rPr>
        <w:t xml:space="preserve">0（北京时间）前递交投标文件。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ascii="宋体" w:hAnsi="宋体" w:cs="Arial"/>
          <w:bCs/>
          <w:szCs w:val="21"/>
        </w:rPr>
      </w:pPr>
      <w:r>
        <w:rPr>
          <w:rFonts w:ascii="宋体" w:hAnsi="宋体" w:cs="Arial"/>
          <w:bCs/>
          <w:szCs w:val="21"/>
        </w:rPr>
        <w:t xml:space="preserve">项目编号：</w:t>
      </w:r>
      <w:r>
        <w:rPr>
          <w:rFonts w:hint="eastAsia" w:ascii="宋体" w:hAnsi="宋体" w:cs="Arial"/>
          <w:bCs/>
          <w:szCs w:val="21"/>
        </w:rPr>
        <w:t xml:space="preserve">JSZC-320102-JSGC-G2025-0089 </w:t>
      </w:r>
      <w:r/>
    </w:p>
    <w:p>
      <w:pPr>
        <w:ind w:firstLine="420"/>
        <w:jc w:val="left"/>
        <w:spacing w:line="360" w:lineRule="auto"/>
        <w:shd w:val="clear" w:color="auto" w:fill="ffffff"/>
        <w:widowControl/>
        <w:rPr>
          <w:rFonts w:hint="eastAsia" w:ascii="宋体" w:hAnsi="宋体" w:cs="Arial"/>
          <w:bCs/>
          <w:szCs w:val="21"/>
          <w:highlight w:val="none"/>
        </w:rPr>
      </w:pPr>
      <w:r>
        <w:rPr>
          <w:rFonts w:ascii="宋体" w:hAnsi="宋体" w:cs="Arial"/>
          <w:bCs/>
          <w:szCs w:val="21"/>
          <w:highlight w:val="none"/>
        </w:rPr>
        <w:t xml:space="preserve">项目名称：</w:t>
      </w:r>
      <w:r>
        <w:rPr>
          <w:rFonts w:hint="eastAsia" w:ascii="宋体" w:hAnsi="宋体" w:cs="Arial"/>
          <w:bCs/>
          <w:szCs w:val="21"/>
          <w:highlight w:val="none"/>
        </w:rPr>
        <w:t xml:space="preserve">玄武区2050城市发展战略研究</w:t>
      </w:r>
      <w:r/>
    </w:p>
    <w:p>
      <w:pPr>
        <w:ind w:firstLine="420"/>
        <w:jc w:val="left"/>
        <w:spacing w:line="360" w:lineRule="auto"/>
        <w:shd w:val="clear" w:color="auto" w:fill="ffffff"/>
        <w:widowControl/>
        <w:rPr>
          <w:rFonts w:hint="eastAsia" w:ascii="宋体" w:hAnsi="宋体"/>
          <w:bCs/>
          <w:szCs w:val="21"/>
          <w:highlight w:val="none"/>
        </w:rPr>
      </w:pPr>
      <w:r>
        <w:rPr>
          <w:rFonts w:hint="eastAsia" w:ascii="宋体" w:hAnsi="宋体" w:cs="Arial"/>
          <w:bCs/>
          <w:szCs w:val="21"/>
          <w:highlight w:val="none"/>
        </w:rPr>
        <w:t xml:space="preserve">预算金额</w:t>
      </w:r>
      <w:r>
        <w:rPr>
          <w:rFonts w:hint="eastAsia" w:ascii="宋体" w:hAnsi="宋体"/>
          <w:bCs/>
          <w:szCs w:val="21"/>
          <w:highlight w:val="none"/>
        </w:rPr>
        <w:t xml:space="preserve">：2</w:t>
      </w:r>
      <w:r>
        <w:rPr>
          <w:rFonts w:hint="eastAsia" w:ascii="宋体" w:hAnsi="宋体"/>
          <w:bCs/>
          <w:szCs w:val="21"/>
          <w:highlight w:val="none"/>
          <w:lang w:val="en-US" w:eastAsia="zh-CN"/>
        </w:rPr>
        <w:t xml:space="preserve">8</w:t>
      </w:r>
      <w:r>
        <w:rPr>
          <w:rFonts w:hint="eastAsia" w:ascii="宋体" w:hAnsi="宋体"/>
          <w:bCs/>
          <w:szCs w:val="21"/>
          <w:highlight w:val="none"/>
        </w:rPr>
        <w:t xml:space="preserve">0万元</w:t>
      </w:r>
      <w:r/>
    </w:p>
    <w:p>
      <w:pPr>
        <w:ind w:firstLine="420"/>
        <w:jc w:val="left"/>
        <w:spacing w:line="360" w:lineRule="auto"/>
        <w:shd w:val="clear" w:color="auto" w:fill="ffffff"/>
        <w:widowControl/>
        <w:rPr>
          <w:rFonts w:hint="eastAsia" w:ascii="宋体" w:hAnsi="宋体" w:cs="Arial"/>
          <w:bCs/>
          <w:szCs w:val="21"/>
          <w:highlight w:val="none"/>
        </w:rPr>
      </w:pPr>
      <w:r>
        <w:rPr>
          <w:rFonts w:hint="eastAsia" w:ascii="宋体" w:hAnsi="宋体"/>
          <w:bCs/>
          <w:szCs w:val="21"/>
          <w:highlight w:val="none"/>
        </w:rPr>
        <w:t xml:space="preserve">最高限价（如有）</w:t>
      </w:r>
      <w:r>
        <w:rPr>
          <w:rFonts w:ascii="宋体" w:hAnsi="宋体" w:cs="Arial"/>
          <w:bCs/>
          <w:szCs w:val="21"/>
          <w:highlight w:val="none"/>
        </w:rPr>
        <w:t xml:space="preserve">：</w:t>
      </w:r>
      <w:r>
        <w:rPr>
          <w:rFonts w:hint="eastAsia" w:ascii="宋体" w:hAnsi="宋体" w:cs="Arial"/>
          <w:bCs/>
          <w:szCs w:val="21"/>
          <w:highlight w:val="none"/>
          <w:lang w:val="en-US" w:eastAsia="zh-CN"/>
        </w:rPr>
        <w:t xml:space="preserve">28</w:t>
      </w:r>
      <w:r>
        <w:rPr>
          <w:rFonts w:hint="eastAsia" w:ascii="宋体" w:hAnsi="宋体"/>
          <w:bCs/>
          <w:szCs w:val="21"/>
          <w:highlight w:val="none"/>
        </w:rPr>
        <w:t xml:space="preserve">0</w:t>
      </w:r>
      <w:r>
        <w:rPr>
          <w:rFonts w:hint="eastAsia" w:ascii="宋体" w:hAnsi="宋体" w:cs="Arial"/>
          <w:bCs/>
          <w:szCs w:val="21"/>
          <w:highlight w:val="none"/>
        </w:rPr>
        <w:t xml:space="preserve">万元</w:t>
      </w:r>
      <w:r/>
    </w:p>
    <w:p>
      <w:pPr>
        <w:ind w:firstLine="420"/>
        <w:jc w:val="left"/>
        <w:spacing w:line="360" w:lineRule="auto"/>
        <w:shd w:val="clear" w:color="auto" w:fill="ffffff"/>
        <w:widowControl/>
        <w:rPr>
          <w:rFonts w:hint="eastAsia" w:ascii="宋体" w:hAnsi="宋体" w:cs="Arial"/>
          <w:bCs/>
          <w:szCs w:val="21"/>
          <w:highlight w:val="none"/>
        </w:rPr>
      </w:pPr>
      <w:r>
        <w:rPr>
          <w:rFonts w:hint="eastAsia" w:ascii="宋体" w:hAnsi="宋体" w:cs="Arial"/>
          <w:bCs/>
          <w:szCs w:val="21"/>
          <w:highlight w:val="none"/>
        </w:rPr>
        <w:t xml:space="preserve">采购方式：公开招标</w:t>
      </w:r>
      <w:r/>
    </w:p>
    <w:p>
      <w:pPr>
        <w:ind w:firstLine="420"/>
        <w:jc w:val="left"/>
        <w:spacing w:line="360" w:lineRule="auto"/>
        <w:shd w:val="clear" w:color="auto" w:fill="ffffff"/>
        <w:widowControl/>
        <w:rPr>
          <w:rFonts w:hint="eastAsia" w:ascii="宋体" w:hAnsi="宋体"/>
          <w:bCs/>
          <w:szCs w:val="21"/>
          <w:highlight w:val="none"/>
          <w:u w:val="single"/>
        </w:rPr>
      </w:pPr>
      <w:r>
        <w:rPr>
          <w:rFonts w:ascii="宋体" w:hAnsi="宋体" w:cs="Arial"/>
          <w:bCs/>
          <w:szCs w:val="21"/>
          <w:highlight w:val="none"/>
        </w:rPr>
        <w:t xml:space="preserve">采购需求</w:t>
      </w:r>
      <w:r>
        <w:rPr>
          <w:rFonts w:hint="eastAsia" w:ascii="宋体" w:hAnsi="宋体" w:cs="Arial"/>
          <w:bCs/>
          <w:szCs w:val="21"/>
          <w:highlight w:val="none"/>
        </w:rPr>
        <w:t xml:space="preserve">：拟委托投标人完成玄武区2050城市发展战略研究服务，依据玄武当前发展情况，开展中长期战略研究，提出玄武长远发展战略与行动举措。具体内容详见文件第四章。</w:t>
      </w:r>
      <w:r/>
    </w:p>
    <w:p>
      <w:pPr>
        <w:ind w:firstLine="420"/>
        <w:jc w:val="left"/>
        <w:spacing w:line="360" w:lineRule="auto"/>
        <w:shd w:val="clear" w:color="auto" w:fill="ffffff"/>
        <w:widowControl/>
        <w:rPr>
          <w:rFonts w:hint="eastAsia" w:ascii="宋体" w:hAnsi="宋体" w:cs="Arial"/>
          <w:bCs/>
          <w:szCs w:val="21"/>
          <w:highlight w:val="none"/>
        </w:rPr>
      </w:pPr>
      <w:r>
        <w:rPr>
          <w:rFonts w:ascii="宋体" w:hAnsi="宋体" w:cs="Arial"/>
          <w:bCs/>
          <w:szCs w:val="21"/>
          <w:highlight w:val="none"/>
        </w:rPr>
        <w:t xml:space="preserve">合同履行期限：</w:t>
      </w:r>
      <w:r>
        <w:rPr>
          <w:rFonts w:hint="eastAsia" w:ascii="宋体" w:hAnsi="宋体" w:cs="Arial"/>
          <w:bCs/>
          <w:szCs w:val="21"/>
          <w:highlight w:val="none"/>
        </w:rPr>
        <w:t xml:space="preserve">自签订合同之日起至合同内容全部履行完毕。</w:t>
      </w:r>
      <w:r/>
    </w:p>
    <w:p>
      <w:pPr>
        <w:ind w:firstLine="420"/>
        <w:jc w:val="left"/>
        <w:spacing w:line="360" w:lineRule="auto"/>
        <w:shd w:val="clear" w:color="auto" w:fill="ffffff"/>
        <w:widowControl/>
        <w:rPr>
          <w:rFonts w:hint="eastAsia" w:ascii="宋体" w:hAnsi="宋体" w:cs="Arial"/>
          <w:bCs/>
          <w:szCs w:val="21"/>
          <w:highlight w:val="none"/>
        </w:rPr>
      </w:pPr>
      <w:r>
        <w:rPr>
          <w:rFonts w:ascii="宋体" w:hAnsi="宋体" w:cs="Arial"/>
          <w:bCs/>
          <w:szCs w:val="21"/>
          <w:highlight w:val="none"/>
        </w:rPr>
        <w:t xml:space="preserve">本项目</w:t>
      </w:r>
      <w:bookmarkStart w:id="5" w:name="_Hlk84582886"/>
      <w:r>
        <w:rPr>
          <w:rFonts w:hint="eastAsia" w:ascii="宋体" w:hAnsi="宋体" w:cs="Arial"/>
          <w:bCs/>
          <w:szCs w:val="21"/>
          <w:highlight w:val="none"/>
        </w:rPr>
        <w:t xml:space="preserve">（是/否）</w:t>
      </w:r>
      <w:r>
        <w:rPr>
          <w:rFonts w:ascii="宋体" w:hAnsi="宋体" w:cs="Arial"/>
          <w:bCs/>
          <w:szCs w:val="21"/>
          <w:highlight w:val="none"/>
        </w:rPr>
        <w:t xml:space="preserve">接受</w:t>
      </w:r>
      <w:bookmarkEnd w:id="5"/>
      <w:r>
        <w:rPr>
          <w:rFonts w:ascii="宋体" w:hAnsi="宋体" w:cs="Arial"/>
          <w:bCs/>
          <w:szCs w:val="21"/>
          <w:highlight w:val="none"/>
        </w:rPr>
        <w:t xml:space="preserve">联合体投标</w:t>
      </w:r>
      <w:r>
        <w:rPr>
          <w:rFonts w:hint="eastAsia" w:ascii="宋体" w:hAnsi="宋体" w:cs="Arial"/>
          <w:bCs/>
          <w:szCs w:val="21"/>
          <w:highlight w:val="none"/>
        </w:rPr>
        <w:t xml:space="preserve">：否</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6" w:name="_Hlk128041996"/>
      <w:r>
        <w:rPr>
          <w:rFonts w:hint="eastAsia" w:asciiTheme="minorEastAsia" w:hAnsiTheme="minorEastAsia" w:eastAsiaTheme="minorEastAsia"/>
          <w:bCs/>
          <w:szCs w:val="21"/>
        </w:rPr>
        <w:t xml:space="preserve">或证明材料</w:t>
      </w:r>
      <w:bookmarkEnd w:id="6"/>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7" w:name="_Hlk169006514"/>
      <w:r>
        <w:rPr>
          <w:rFonts w:hint="eastAsia" w:asciiTheme="minorEastAsia" w:hAnsiTheme="minorEastAsia" w:eastAsiaTheme="minorEastAsia"/>
          <w:bCs/>
          <w:szCs w:val="21"/>
        </w:rPr>
        <w:t xml:space="preserve">具有依法缴纳税收和社会保障资金的良好记录</w:t>
      </w:r>
      <w:bookmarkStart w:id="8"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8"/>
      <w:r>
        <w:rPr>
          <w:rFonts w:hint="eastAsia" w:asciiTheme="minorEastAsia" w:hAnsiTheme="minorEastAsia" w:eastAsiaTheme="minorEastAsia"/>
          <w:bCs/>
          <w:szCs w:val="21"/>
        </w:rPr>
        <w:t xml:space="preserve">；</w:t>
      </w:r>
      <w:bookmarkEnd w:id="7"/>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9" w:name="_Hlk128042064"/>
      <w:r/>
      <w:r/>
    </w:p>
    <w:p>
      <w:pPr>
        <w:ind w:firstLine="420"/>
        <w:spacing w:line="360" w:lineRule="auto"/>
        <w:rPr>
          <w:rFonts w:hint="eastAsia" w:cs="宋体" w:asciiTheme="minorEastAsia" w:hAnsiTheme="minorEastAsia"/>
          <w:bCs/>
          <w:szCs w:val="21"/>
          <w:highlight w:val="none"/>
        </w:rPr>
      </w:pPr>
      <w:r>
        <w:rPr>
          <w:rFonts w:hint="eastAsia" w:ascii="宋体" w:hAnsi="宋体"/>
          <w:bCs/>
          <w:szCs w:val="21"/>
        </w:rPr>
        <w:t xml:space="preserve">无</w:t>
      </w:r>
      <w:r>
        <w:rPr>
          <w:rFonts w:hint="eastAsia" w:ascii="宋体" w:hAnsi="宋体"/>
          <w:bCs/>
          <w:szCs w:val="21"/>
          <w:highlight w:val="none"/>
        </w:rPr>
        <w:t xml:space="preserve">。</w:t>
      </w:r>
      <w:bookmarkEnd w:id="9"/>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0" w:name="_Hlk67996638"/>
      <w:r/>
      <w:bookmarkStart w:id="11"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0"/>
      <w:r>
        <w:rPr>
          <w:rFonts w:hint="eastAsia" w:cs="Arial" w:asciiTheme="minorEastAsia" w:hAnsiTheme="minorEastAsia" w:eastAsiaTheme="minorEastAsia"/>
          <w:bCs/>
          <w:szCs w:val="21"/>
          <w:highlight w:val="none"/>
        </w:rPr>
        <w:t xml:space="preserve">：</w:t>
      </w:r>
      <w:bookmarkEnd w:id="11"/>
      <w:r>
        <w:rPr>
          <w:rFonts w:hint="eastAsia" w:ascii="宋体" w:hAnsi="宋体"/>
          <w:bCs/>
          <w:szCs w:val="21"/>
          <w:highlight w:val="none"/>
        </w:rPr>
        <w:t xml:space="preserve">投标人须具备城乡规划编制甲级资质（提供相关证明材料并加盖公章）。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2" w:name="_Hlk77846375"/>
      <w:r/>
      <w:bookmarkStart w:id="13" w:name="_Hlk77845490"/>
      <w:r>
        <w:rPr>
          <w:rFonts w:cs="Arial" w:asciiTheme="minorEastAsia" w:hAnsiTheme="minorEastAsia" w:eastAsiaTheme="minorEastAsia"/>
          <w:b/>
          <w:szCs w:val="21"/>
          <w:highlight w:val="none"/>
        </w:rPr>
        <w:t xml:space="preserve">三、获取招标文件</w:t>
      </w:r>
      <w:bookmarkEnd w:id="12"/>
      <w:r/>
      <w:bookmarkEnd w:id="13"/>
      <w:r/>
      <w:r/>
    </w:p>
    <w:p>
      <w:pPr>
        <w:ind w:firstLine="452"/>
        <w:jc w:val="left"/>
        <w:spacing w:line="360" w:lineRule="auto"/>
        <w:shd w:val="clear" w:color="auto" w:fill="ffffff"/>
        <w:widowControl/>
        <w:rPr>
          <w:rFonts w:hint="eastAsia" w:ascii="宋体" w:hAnsi="宋体" w:cs="Arial"/>
          <w:spacing w:val="8"/>
          <w:szCs w:val="21"/>
          <w:highlight w:val="none"/>
        </w:rPr>
      </w:pPr>
      <w:r>
        <w:rPr>
          <w:rFonts w:hint="eastAsia" w:ascii="宋体" w:hAnsi="宋体" w:cs="Arial"/>
          <w:spacing w:val="8"/>
          <w:szCs w:val="21"/>
          <w:highlight w:val="none"/>
        </w:rPr>
        <w:t xml:space="preserve">时间：自招标文件公告发布之日起5个工作日</w:t>
      </w:r>
      <w:r/>
    </w:p>
    <w:p>
      <w:pPr>
        <w:ind w:firstLine="452"/>
        <w:jc w:val="left"/>
        <w:spacing w:line="360" w:lineRule="auto"/>
        <w:shd w:val="clear" w:color="auto" w:fill="ffffff"/>
        <w:widowControl/>
        <w:rPr>
          <w:rFonts w:hint="eastAsia" w:ascii="宋体" w:hAnsi="宋体" w:cs="Arial"/>
          <w:spacing w:val="8"/>
          <w:szCs w:val="21"/>
        </w:rPr>
      </w:pPr>
      <w:r>
        <w:rPr>
          <w:rFonts w:hint="eastAsia" w:ascii="宋体" w:hAnsi="宋体" w:cs="Arial"/>
          <w:spacing w:val="8"/>
          <w:szCs w:val="21"/>
          <w:highlight w:val="none"/>
        </w:rPr>
        <w:t xml:space="preserve">地点：江苏政府采购网“苏</w:t>
      </w:r>
      <w:r>
        <w:rPr>
          <w:rFonts w:hint="eastAsia" w:ascii="宋体" w:hAnsi="宋体" w:cs="Arial"/>
          <w:spacing w:val="8"/>
          <w:szCs w:val="21"/>
        </w:rPr>
        <w:t xml:space="preserve">采云”系统</w:t>
      </w:r>
      <w:r/>
    </w:p>
    <w:p>
      <w:pPr>
        <w:ind w:firstLine="452"/>
        <w:jc w:val="left"/>
        <w:spacing w:line="360" w:lineRule="auto"/>
        <w:shd w:val="clear" w:color="auto" w:fill="ffffff"/>
        <w:widowControl/>
        <w:rPr>
          <w:rFonts w:hint="eastAsia" w:ascii="宋体" w:hAnsi="宋体" w:cs="Arial"/>
          <w:spacing w:val="8"/>
          <w:szCs w:val="21"/>
        </w:rPr>
      </w:pPr>
      <w:r>
        <w:rPr>
          <w:rFonts w:hint="eastAsia" w:ascii="宋体" w:hAnsi="宋体" w:cs="Arial"/>
          <w:spacing w:val="8"/>
          <w:szCs w:val="21"/>
        </w:rPr>
        <w:t xml:space="preserve">方式：投标人登陆江苏政府采购网，在网站首页点击“苏采云”系统自行免费下载</w:t>
      </w:r>
      <w:r/>
    </w:p>
    <w:p>
      <w:pPr>
        <w:ind w:firstLine="452"/>
        <w:jc w:val="left"/>
        <w:spacing w:line="360" w:lineRule="auto"/>
        <w:shd w:val="clear" w:color="auto" w:fill="ffffff"/>
        <w:widowControl/>
        <w:rPr>
          <w:rFonts w:hint="eastAsia" w:ascii="宋体" w:hAnsi="宋体" w:cs="Arial"/>
          <w:spacing w:val="8"/>
          <w:szCs w:val="21"/>
        </w:rPr>
      </w:pPr>
      <w:r>
        <w:rPr>
          <w:rFonts w:hint="eastAsia" w:ascii="宋体" w:hAnsi="宋体" w:cs="Arial"/>
          <w:spacing w:val="8"/>
          <w:szCs w:val="21"/>
        </w:rPr>
        <w:t xml:space="preserve">售价：0元</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14" w:name="_Hlk44579106"/>
      <w:r>
        <w:rPr>
          <w:rFonts w:hint="eastAsia" w:cs="Arial" w:asciiTheme="minorEastAsia" w:hAnsiTheme="minorEastAsia" w:eastAsiaTheme="minorEastAsia"/>
          <w:b/>
          <w:szCs w:val="21"/>
        </w:rPr>
        <w:t xml:space="preserve">提交投标文件截止时间、开标时间和地点</w:t>
      </w:r>
      <w:bookmarkEnd w:id="14"/>
      <w:r/>
      <w:r/>
    </w:p>
    <w:p>
      <w:pPr>
        <w:ind w:firstLine="420"/>
        <w:jc w:val="left"/>
        <w:spacing w:line="360" w:lineRule="auto"/>
        <w:shd w:val="clear" w:color="auto" w:fill="ffffff"/>
        <w:widowControl/>
        <w:rPr>
          <w:rFonts w:hint="eastAsia" w:ascii="宋体" w:hAnsi="宋体" w:cs="宋体"/>
          <w:szCs w:val="21"/>
          <w:highlight w:val="none"/>
        </w:rPr>
      </w:pPr>
      <w:r/>
      <w:bookmarkStart w:id="15" w:name="_Hlk44575721"/>
      <w:r>
        <w:rPr>
          <w:rFonts w:hint="eastAsia" w:ascii="宋体" w:hAnsi="宋体" w:cs="宋体"/>
          <w:szCs w:val="21"/>
          <w:highlight w:val="none"/>
        </w:rPr>
        <w:t xml:space="preserve">2025年12月</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日09:30</w:t>
      </w:r>
      <w:bookmarkEnd w:id="15"/>
      <w:r>
        <w:rPr>
          <w:rFonts w:hint="eastAsia" w:ascii="宋体" w:hAnsi="宋体" w:cs="宋体"/>
          <w:szCs w:val="21"/>
          <w:highlight w:val="none"/>
        </w:rPr>
        <w:t xml:space="preserve">（北京时间）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w:t>
      </w:r>
      <w:bookmarkStart w:id="16" w:name="_Hlk176530129"/>
      <w:r>
        <w:rPr>
          <w:rFonts w:hint="eastAsia" w:ascii="宋体" w:hAnsi="宋体" w:cs="宋体"/>
          <w:szCs w:val="21"/>
        </w:rPr>
        <w:t xml:space="preserve">“</w:t>
      </w:r>
      <w:r>
        <w:rPr>
          <w:rFonts w:hint="eastAsia" w:ascii="宋体" w:hAnsi="宋体" w:cs="宋体"/>
          <w:szCs w:val="21"/>
        </w:rPr>
        <w:t xml:space="preserve">苏采云”系统</w:t>
      </w:r>
      <w:r>
        <w:rPr>
          <w:rFonts w:hint="eastAsia" w:ascii="宋体" w:hAnsi="宋体" w:cs="宋体"/>
          <w:szCs w:val="21"/>
        </w:rPr>
        <w:t xml:space="preserve">开标大厅</w:t>
      </w:r>
      <w:bookmarkEnd w:id="16"/>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1.本项目根据中小企业划型标准属于：其它未列明行业。</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2.公告发布媒体：本项目在</w:t>
      </w:r>
      <w:r>
        <w:rPr>
          <w:rFonts w:hint="eastAsia" w:ascii="宋体" w:hAnsi="宋体" w:cs="Arial"/>
          <w:b/>
          <w:bCs/>
          <w:szCs w:val="21"/>
        </w:rPr>
        <w:t xml:space="preserve">南京公共采购信息网、江苏政府采购网、中国政府采购网</w:t>
      </w:r>
      <w:r>
        <w:rPr>
          <w:rFonts w:hint="eastAsia" w:ascii="宋体" w:hAnsi="宋体" w:cs="Arial"/>
          <w:szCs w:val="21"/>
        </w:rPr>
        <w:t xml:space="preserve">发布公告（其他媒体转载无效）。</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3.本项目不专门面向中小微企业采购，执行价格扣除优惠政策，具体内容详见招标文件第二章政策功能。</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4.勘察现场或答疑：采购人不统一组织，有需要的投标人可自行勘察。</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5.拒绝下述投标人参加本次采购活动</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（1）投标人单位负责人为同一人或者存在直接控股、管理关系的不同投标人，不得参加同一合同项下的政府采购活动。</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（2）为采购项目提供整体设计、规范编制或者项目管理、监理、检测等服务的投标人，不得参加本项目的采购活动。</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（4）投标人未提供《南京市政府采购投标人信用记录表暨信用承诺书》。</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6.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7.有关本次招标的事项若存在变动或修改，请及时关注“江苏政府采购网”（www.ccgp-jiangsu.gov.cn）更正公告。</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8.政府采购信用承诺</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根据《关于在政府采购活动中推行信用承诺制的通知》宁财购通〔2021)5号规定，参加南京地区政府采购活动的投标人，应向采购人或政府采购代理机构作出信用承诺。投标人应尽早做好承诺工作，点击“南京公共采购信息网”首页(https://njgc.jfh.com/)“南京市政府采购投标人诚信档案”系统链接打开系统页面</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在政府采购资格审查环节，投标人只需提供《南京市政府采购投标人信用记录表暨信用承诺书》，即可替代以下证明材料：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（1）符合国家相关规定的财务状况报告；</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（2）依法缴纳税收的证明材料；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（3）依法缴纳社会保障资金的证明材料；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（4）具备履行政府采购合同所必需的设备和专业技术能力的证明材料；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（5）参加政府采购活动前三年内在经营活动中没有重大违法记录的证明材料；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（6）未被列入失信被执行人、重大税收违法失信主体、政府采购严重违法失信行为记录名单的证明材料。</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投标人涉及以下情形的，不适用信用承诺：</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（1）投标人被列入严重失信主体名单；</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（2）被相关监管部门作出行政处罚且尚在处罚有效期内；</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（3）其他法律、行政法规规定的不适用信用承诺的情形；</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ascii="宋体" w:hAnsi="宋体" w:cs="Arial"/>
          <w:b/>
          <w:szCs w:val="21"/>
        </w:rPr>
      </w:pPr>
      <w:r>
        <w:rPr>
          <w:rFonts w:hint="eastAsia" w:ascii="宋体" w:hAnsi="宋体" w:cs="Arial"/>
          <w:b/>
          <w:szCs w:val="21"/>
        </w:rPr>
        <w:t xml:space="preserve">1.</w:t>
      </w:r>
      <w:r>
        <w:rPr>
          <w:rFonts w:ascii="宋体" w:hAnsi="宋体" w:cs="Arial"/>
          <w:b/>
          <w:szCs w:val="21"/>
        </w:rPr>
        <w:t xml:space="preserve">采购人信息</w:t>
      </w:r>
      <w:r/>
    </w:p>
    <w:p>
      <w:pPr>
        <w:ind w:firstLine="420"/>
        <w:jc w:val="left"/>
        <w:spacing w:line="360" w:lineRule="auto"/>
        <w:shd w:val="clear" w:color="auto" w:fill="ffffff"/>
        <w:widowControl/>
        <w:rPr>
          <w:rFonts w:hint="eastAsia" w:ascii="宋体" w:hAnsi="宋体" w:cs="Arial"/>
          <w:b/>
          <w:szCs w:val="21"/>
        </w:rPr>
      </w:pPr>
      <w:r>
        <w:rPr>
          <w:rFonts w:hint="eastAsia" w:ascii="宋体" w:hAnsi="宋体" w:cs="Arial"/>
          <w:bCs/>
          <w:szCs w:val="21"/>
        </w:rPr>
        <w:t xml:space="preserve">单位名称：南京市玄武区发展和改革委员会</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单位地址：</w:t>
      </w:r>
      <w:r>
        <w:rPr>
          <w:rFonts w:hint="eastAsia" w:ascii="宋体" w:hAnsi="宋体"/>
          <w:szCs w:val="21"/>
          <w:lang w:val="zh-CN"/>
        </w:rPr>
        <w:t xml:space="preserve">南京市玄武区珠江路455号</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联系人：王文茜 </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联系电话：</w:t>
      </w:r>
      <w:r>
        <w:rPr>
          <w:rFonts w:hint="eastAsia" w:ascii="宋体" w:hAnsi="宋体"/>
          <w:szCs w:val="21"/>
          <w:highlight w:val="none"/>
          <w:lang w:val="en-US" w:eastAsia="zh-CN"/>
        </w:rPr>
        <w:t xml:space="preserve">025-83677078</w:t>
      </w:r>
      <w:r>
        <w:rPr>
          <w:rFonts w:hint="eastAsia" w:ascii="宋体" w:hAnsi="宋体"/>
          <w:szCs w:val="21"/>
          <w:highlight w:val="none"/>
        </w:rPr>
        <w:t xml:space="preserve"> </w:t>
      </w:r>
      <w:r/>
    </w:p>
    <w:p>
      <w:pPr>
        <w:ind w:firstLine="422"/>
        <w:jc w:val="left"/>
        <w:spacing w:line="360" w:lineRule="auto"/>
        <w:shd w:val="clear" w:color="auto" w:fill="ffffff"/>
        <w:widowControl/>
        <w:rPr>
          <w:rFonts w:hint="eastAsia" w:ascii="宋体" w:hAnsi="宋体" w:cs="Arial"/>
          <w:b/>
          <w:szCs w:val="21"/>
        </w:rPr>
      </w:pPr>
      <w:r>
        <w:rPr>
          <w:rFonts w:hint="eastAsia" w:ascii="宋体" w:hAnsi="宋体" w:cs="Arial"/>
          <w:b/>
          <w:szCs w:val="21"/>
        </w:rPr>
        <w:t xml:space="preserve">2.</w:t>
      </w:r>
      <w:r>
        <w:rPr>
          <w:rFonts w:ascii="宋体" w:hAnsi="宋体" w:cs="Arial"/>
          <w:b/>
          <w:szCs w:val="21"/>
        </w:rPr>
        <w:t xml:space="preserve">采购代理机构信息</w:t>
      </w:r>
      <w:r>
        <w:rPr>
          <w:rFonts w:hint="eastAsia" w:ascii="宋体" w:hAnsi="宋体" w:cs="Arial"/>
          <w:b/>
          <w:szCs w:val="21"/>
        </w:rPr>
        <w:t xml:space="preserve">（如有）</w:t>
      </w:r>
      <w:r/>
    </w:p>
    <w:p>
      <w:pPr>
        <w:ind w:firstLine="420"/>
        <w:jc w:val="left"/>
        <w:spacing w:line="360" w:lineRule="auto"/>
        <w:shd w:val="clear" w:color="auto" w:fill="ffffff"/>
        <w:widowControl/>
        <w:rPr>
          <w:rFonts w:hint="eastAsia" w:ascii="宋体" w:hAnsi="宋体" w:cs="Arial"/>
          <w:b/>
          <w:szCs w:val="21"/>
        </w:rPr>
      </w:pPr>
      <w:r>
        <w:rPr>
          <w:rFonts w:hint="eastAsia" w:ascii="宋体" w:hAnsi="宋体" w:cs="Arial"/>
          <w:bCs/>
          <w:szCs w:val="21"/>
        </w:rPr>
        <w:t xml:space="preserve">单位名称：江苏国采工程咨询有限公司</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单位地址：南京市山西路8号金山大厦A座28层2</w:t>
      </w:r>
      <w:r>
        <w:rPr>
          <w:rFonts w:ascii="宋体" w:hAnsi="宋体"/>
          <w:szCs w:val="21"/>
          <w:lang w:val="zh-CN"/>
        </w:rPr>
        <w:t xml:space="preserve">810</w:t>
      </w:r>
      <w:r>
        <w:rPr>
          <w:rFonts w:hint="eastAsia" w:ascii="宋体" w:hAnsi="宋体"/>
          <w:szCs w:val="21"/>
          <w:lang w:val="zh-CN"/>
        </w:rPr>
        <w:t xml:space="preserve">室</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邮 </w:t>
      </w:r>
      <w:r>
        <w:rPr>
          <w:rFonts w:ascii="宋体" w:hAnsi="宋体"/>
          <w:szCs w:val="21"/>
          <w:lang w:val="zh-CN"/>
        </w:rPr>
        <w:t xml:space="preserve"> </w:t>
      </w:r>
      <w:r>
        <w:rPr>
          <w:rFonts w:hint="eastAsia" w:ascii="宋体" w:hAnsi="宋体"/>
          <w:szCs w:val="21"/>
          <w:lang w:val="zh-CN"/>
        </w:rPr>
        <w:t xml:space="preserve">箱：</w:t>
      </w:r>
      <w:r>
        <w:rPr>
          <w:rFonts w:ascii="宋体" w:hAnsi="宋体"/>
          <w:szCs w:val="21"/>
          <w:lang w:val="zh-CN"/>
        </w:rPr>
        <w:t xml:space="preserve">jsgczb@sina.com</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联系人：</w:t>
      </w:r>
      <w:r>
        <w:rPr>
          <w:rFonts w:hint="eastAsia" w:ascii="宋体" w:hAnsi="宋体"/>
          <w:szCs w:val="21"/>
        </w:rPr>
        <w:t xml:space="preserve">濮钰铃</w:t>
      </w:r>
      <w:r>
        <w:rPr>
          <w:rFonts w:hint="eastAsia" w:ascii="宋体" w:hAnsi="宋体"/>
          <w:szCs w:val="21"/>
          <w:lang w:val="zh-CN"/>
        </w:rPr>
        <w:t xml:space="preserve"> 高捷</w:t>
      </w:r>
      <w:r/>
    </w:p>
    <w:p>
      <w:pPr>
        <w:ind w:firstLine="420"/>
        <w:jc w:val="left"/>
        <w:spacing w:line="360" w:lineRule="auto"/>
        <w:rPr>
          <w:rFonts w:hint="eastAsia" w:ascii="宋体" w:hAnsi="宋体"/>
          <w:szCs w:val="21"/>
        </w:rPr>
      </w:pPr>
      <w:r>
        <w:rPr>
          <w:rFonts w:hint="eastAsia" w:ascii="宋体" w:hAnsi="宋体"/>
          <w:szCs w:val="21"/>
          <w:lang w:val="zh-CN"/>
        </w:rPr>
        <w:t xml:space="preserve">联系电话：</w:t>
      </w:r>
      <w:r>
        <w:rPr>
          <w:rFonts w:ascii="宋体" w:hAnsi="宋体"/>
          <w:szCs w:val="21"/>
          <w:lang w:val="zh-CN"/>
        </w:rPr>
        <w:t xml:space="preserve">025-8369</w:t>
      </w:r>
      <w:r>
        <w:rPr>
          <w:rFonts w:hint="eastAsia" w:ascii="宋体" w:hAnsi="宋体"/>
          <w:szCs w:val="21"/>
        </w:rPr>
        <w:t xml:space="preserve">0579</w:t>
      </w:r>
      <w:r/>
    </w:p>
    <w:p>
      <w:pPr>
        <w:ind w:firstLine="422"/>
        <w:jc w:val="left"/>
        <w:spacing w:line="360" w:lineRule="auto"/>
        <w:shd w:val="clear" w:color="auto" w:fill="ffffff"/>
        <w:widowControl/>
        <w:rPr>
          <w:rFonts w:hint="eastAsia" w:ascii="宋体" w:hAnsi="宋体" w:cs="Arial"/>
          <w:b/>
          <w:szCs w:val="21"/>
        </w:rPr>
      </w:pPr>
      <w:r>
        <w:rPr>
          <w:rFonts w:hint="eastAsia" w:ascii="宋体" w:hAnsi="宋体" w:cs="Arial"/>
          <w:b/>
          <w:szCs w:val="21"/>
        </w:rPr>
        <w:t xml:space="preserve">3.</w:t>
      </w:r>
      <w:r>
        <w:rPr>
          <w:rFonts w:ascii="宋体" w:hAnsi="宋体" w:cs="Arial"/>
          <w:b/>
          <w:szCs w:val="21"/>
        </w:rPr>
        <w:t xml:space="preserve">项目联系方式</w:t>
      </w:r>
      <w:r/>
    </w:p>
    <w:p>
      <w:pPr>
        <w:ind w:firstLine="420"/>
        <w:jc w:val="left"/>
        <w:spacing w:line="360" w:lineRule="auto"/>
        <w:shd w:val="clear" w:color="auto" w:fill="ffffff"/>
        <w:widowControl/>
        <w:rPr>
          <w:rFonts w:hint="eastAsia" w:ascii="宋体" w:hAnsi="宋体" w:cs="Arial"/>
          <w:szCs w:val="21"/>
        </w:rPr>
      </w:pPr>
      <w:r>
        <w:rPr>
          <w:rFonts w:ascii="宋体" w:hAnsi="宋体" w:cs="Arial"/>
          <w:szCs w:val="21"/>
        </w:rPr>
        <w:t xml:space="preserve">项目联系人</w:t>
      </w:r>
      <w:r>
        <w:rPr>
          <w:rFonts w:hint="eastAsia" w:ascii="宋体" w:hAnsi="宋体" w:cs="Arial"/>
          <w:szCs w:val="21"/>
        </w:rPr>
        <w:t xml:space="preserve">：濮钰铃 高捷</w:t>
      </w:r>
      <w:r/>
    </w:p>
    <w:p>
      <w:pPr>
        <w:ind w:firstLine="420"/>
        <w:jc w:val="left"/>
        <w:spacing w:line="360" w:lineRule="auto"/>
        <w:shd w:val="clear" w:color="auto" w:fill="ffffff"/>
        <w:widowControl/>
        <w:rPr>
          <w:rFonts w:hint="eastAsia" w:asciiTheme="minorEastAsia" w:hAnsiTheme="minorEastAsia"/>
          <w:szCs w:val="21"/>
        </w:rPr>
      </w:pPr>
      <w:r>
        <w:rPr>
          <w:rFonts w:hint="eastAsia" w:ascii="宋体" w:hAnsi="宋体" w:cs="Arial"/>
          <w:szCs w:val="21"/>
        </w:rPr>
        <w:t xml:space="preserve">联系电话：</w:t>
      </w:r>
      <w:r>
        <w:rPr>
          <w:rFonts w:hint="eastAsia" w:ascii="宋体" w:hAnsi="宋体"/>
          <w:szCs w:val="21"/>
        </w:rPr>
        <w:t xml:space="preserve"> </w:t>
      </w:r>
      <w:r>
        <w:rPr>
          <w:rFonts w:ascii="宋体" w:hAnsi="宋体"/>
          <w:szCs w:val="21"/>
        </w:rPr>
        <w:t xml:space="preserve">025-8369</w:t>
      </w:r>
      <w:r>
        <w:rPr>
          <w:rFonts w:hint="eastAsia" w:ascii="宋体" w:hAnsi="宋体"/>
          <w:szCs w:val="21"/>
        </w:rPr>
        <w:t xml:space="preserve">0579</w:t>
      </w:r>
      <w:r/>
    </w:p>
    <w:p>
      <w:pPr>
        <w:ind w:firstLine="315"/>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pStyle w:val="890"/>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17" w:name="_Toc27750"/>
      <w:r/>
      <w:bookmarkStart w:id="18" w:name="_Toc7511"/>
      <w:r>
        <w:rPr>
          <w:rFonts w:hint="eastAsia" w:asciiTheme="minorEastAsia" w:hAnsiTheme="minorEastAsia" w:eastAsiaTheme="minorEastAsia"/>
        </w:rPr>
        <w:t xml:space="preserve">第二章</w:t>
      </w:r>
      <w:bookmarkStart w:id="19" w:name="_Toc452625218"/>
      <w:r>
        <w:rPr>
          <w:rFonts w:hint="eastAsia" w:asciiTheme="minorEastAsia" w:hAnsiTheme="minorEastAsia" w:eastAsiaTheme="minorEastAsia"/>
        </w:rPr>
        <w:t xml:space="preserve"> 投标人须知</w:t>
      </w:r>
      <w:bookmarkEnd w:id="17"/>
      <w:r/>
      <w:bookmarkEnd w:id="18"/>
      <w:r/>
      <w:bookmarkEnd w:id="19"/>
      <w:r/>
      <w:r/>
    </w:p>
    <w:p>
      <w:pPr>
        <w:ind w:firstLine="424"/>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hint="eastAsia" w:asciiTheme="minorEastAsia" w:hAnsiTheme="minorEastAsia" w:eastAsiaTheme="minorEastAsia"/>
          <w:szCs w:val="21"/>
        </w:rPr>
      </w:pPr>
      <w:r/>
      <w:bookmarkStart w:id="20" w:name="_Hlk44576213"/>
      <w:r>
        <w:rPr>
          <w:rFonts w:hint="eastAsia" w:asciiTheme="minorEastAsia" w:hAnsiTheme="minorEastAsia" w:eastAsiaTheme="minorEastAsia"/>
          <w:szCs w:val="21"/>
        </w:rPr>
        <w:t xml:space="preserve">2.1“采购人”是指南京市玄武区发展和改革委员会。</w:t>
      </w:r>
      <w:bookmarkEnd w:id="2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或投标人”</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szCs w:val="21"/>
        </w:rPr>
      </w:pPr>
      <w:r/>
      <w:bookmarkStart w:id="21" w:name="_Hlk44576222"/>
      <w:r>
        <w:rPr>
          <w:rFonts w:hint="eastAsia" w:asciiTheme="minorEastAsia" w:hAnsiTheme="minorEastAsia" w:eastAsiaTheme="minorEastAsia"/>
          <w:szCs w:val="21"/>
        </w:rPr>
        <w:t xml:space="preserve">2.3“采购代理机构”</w:t>
      </w:r>
      <w:r>
        <w:rPr>
          <w:rFonts w:asciiTheme="minorEastAsia" w:hAnsiTheme="minorEastAsia" w:eastAsiaTheme="minorEastAsia"/>
          <w:szCs w:val="21"/>
        </w:rPr>
        <w:t xml:space="preserve">是指</w:t>
      </w:r>
      <w:r>
        <w:rPr>
          <w:rFonts w:hint="eastAsia" w:asciiTheme="minorEastAsia" w:hAnsiTheme="minorEastAsia" w:eastAsiaTheme="minorEastAsia"/>
          <w:szCs w:val="21"/>
        </w:rPr>
        <w:t xml:space="preserve">江苏国采工程咨询有限公司</w:t>
      </w:r>
      <w:r>
        <w:rPr>
          <w:rFonts w:asciiTheme="minorEastAsia" w:hAnsiTheme="minorEastAsia" w:eastAsiaTheme="minorEastAsia"/>
          <w:szCs w:val="21"/>
        </w:rPr>
        <w:t xml:space="preserve">。</w:t>
      </w:r>
      <w:bookmarkEnd w:id="2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rPr>
      </w:pPr>
      <w:r/>
      <w:bookmarkStart w:id="22" w:name="_Hlk118723819"/>
      <w:r/>
      <w:bookmarkStart w:id="23" w:name="_Hlk84583107"/>
      <w:r>
        <w:rPr>
          <w:rFonts w:hint="eastAsia" w:asciiTheme="minorEastAsia" w:hAnsiTheme="minorEastAsia" w:eastAsiaTheme="minorEastAsia"/>
          <w:b/>
          <w:bCs/>
          <w:szCs w:val="21"/>
        </w:rPr>
        <w:t xml:space="preserve">3.政策功能</w:t>
      </w:r>
      <w:bookmarkEnd w:id="22"/>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24"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25" w:name="_Hlk77845870"/>
      <w:r/>
      <w:bookmarkStart w:id="26"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24"/>
      <w:r/>
      <w:bookmarkEnd w:id="25"/>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26"/>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27"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27"/>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28"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29" w:name="_Hlk163033106"/>
      <w:r>
        <w:rPr>
          <w:rFonts w:hint="eastAsia" w:cs="宋体" w:asciiTheme="minorEastAsia" w:hAnsiTheme="minorEastAsia" w:eastAsiaTheme="minorEastAsia"/>
          <w:szCs w:val="21"/>
        </w:rPr>
        <w:t xml:space="preserve">监狱管理局、戒毒管理局</w:t>
      </w:r>
      <w:bookmarkEnd w:id="29"/>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28"/>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0"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23"/>
      <w:r/>
      <w:bookmarkEnd w:id="30"/>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rPr>
      </w:pPr>
      <w:r/>
      <w:bookmarkStart w:id="31" w:name="_Toc14577357"/>
      <w:r/>
      <w:bookmarkStart w:id="32" w:name="_Toc513029219"/>
      <w:r/>
      <w:bookmarkStart w:id="33" w:name="_Toc49090509"/>
      <w:r/>
      <w:bookmarkStart w:id="34" w:name="_Toc49090507"/>
      <w:r/>
      <w:bookmarkStart w:id="35" w:name="_Toc513029216"/>
      <w:r/>
      <w:bookmarkStart w:id="36" w:name="_Toc14577354"/>
      <w:r/>
      <w:bookmarkStart w:id="37"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31"/>
      <w:r/>
      <w:bookmarkEnd w:id="32"/>
      <w:r/>
      <w:bookmarkEnd w:id="33"/>
      <w:r/>
      <w:bookmarkEnd w:id="34"/>
      <w:r/>
      <w:bookmarkEnd w:id="35"/>
      <w:r/>
      <w:bookmarkEnd w:id="36"/>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38" w:name="_Toc49090508"/>
      <w:r/>
      <w:bookmarkStart w:id="39" w:name="_Toc14577355"/>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37"/>
      <w:r/>
      <w:bookmarkEnd w:id="38"/>
      <w:r/>
      <w:bookmarkEnd w:id="39"/>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40" w:name="_Hlt26954842"/>
      <w:r/>
      <w:bookmarkEnd w:id="40"/>
      <w:r/>
      <w:bookmarkStart w:id="41" w:name="_Hlt26670482"/>
      <w:r/>
      <w:bookmarkEnd w:id="41"/>
      <w:r/>
      <w:bookmarkStart w:id="42" w:name="_Hlt26670403"/>
      <w:r/>
      <w:bookmarkEnd w:id="42"/>
      <w:r/>
      <w:bookmarkStart w:id="43" w:name="_Hlt26954731"/>
      <w:r/>
      <w:bookmarkEnd w:id="43"/>
      <w:r/>
      <w:bookmarkStart w:id="44" w:name="_Hlt26954844"/>
      <w:r/>
      <w:bookmarkEnd w:id="44"/>
      <w:r/>
      <w:bookmarkStart w:id="45" w:name="_Hlt26668983"/>
      <w:r/>
      <w:bookmarkEnd w:id="45"/>
      <w:r/>
      <w:bookmarkStart w:id="46" w:name="_Hlt26670486"/>
      <w:r/>
      <w:bookmarkEnd w:id="46"/>
      <w:r/>
      <w:bookmarkStart w:id="47" w:name="_Hlt26954846"/>
      <w:r/>
      <w:bookmarkEnd w:id="47"/>
      <w:r/>
      <w:bookmarkStart w:id="48" w:name="_Hlt26670425"/>
      <w:r/>
      <w:bookmarkEnd w:id="48"/>
      <w:r/>
      <w:bookmarkStart w:id="49" w:name="_Hlt26954848"/>
      <w:r/>
      <w:bookmarkEnd w:id="49"/>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50" w:name="_Toc14577359"/>
      <w:r/>
      <w:bookmarkStart w:id="51" w:name="_Toc49090510"/>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52" w:name="OLE_LINK27"/>
      <w:r>
        <w:rPr>
          <w:rFonts w:cs="方正楷体_GBK" w:asciiTheme="minorEastAsia" w:hAnsiTheme="minorEastAsia" w:eastAsiaTheme="minorEastAsia"/>
          <w:b/>
          <w:bCs/>
          <w:szCs w:val="21"/>
        </w:rPr>
        <w:t xml:space="preserve">投标函</w:t>
      </w:r>
      <w:bookmarkEnd w:id="52"/>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11.2 </w:t>
      </w:r>
      <w:bookmarkStart w:id="53"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对于采用货币报价的项目，开标一览表中的投标总价应与分项报价表中的投标总价一致，如不一致不作为无效投标处理，评标时以开标一览表中价格为准。</w:t>
      </w:r>
      <w:bookmarkEnd w:id="50"/>
      <w:r/>
      <w:bookmarkEnd w:id="51"/>
      <w:r/>
      <w:bookmarkEnd w:id="53"/>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szCs w:val="21"/>
        </w:rPr>
        <w:t xml:space="preserve">12.1</w:t>
      </w:r>
      <w:bookmarkStart w:id="54" w:name="_Hlk68014334"/>
      <w:r>
        <w:rPr>
          <w:rFonts w:hint="eastAsia" w:asciiTheme="minorEastAsia" w:hAnsiTheme="minorEastAsia" w:eastAsiaTheme="minorEastAsia"/>
          <w:bCs/>
          <w:szCs w:val="21"/>
        </w:rPr>
        <w:t xml:space="preserve">本项目不收取投标保证金。</w:t>
      </w:r>
      <w:bookmarkEnd w:id="54"/>
      <w:r/>
      <w:r/>
    </w:p>
    <w:p>
      <w:pPr>
        <w:ind w:firstLine="422"/>
        <w:spacing w:line="360" w:lineRule="auto"/>
        <w:shd w:val="clear" w:color="auto" w:fill="ffffff"/>
        <w:widowControl/>
        <w:rPr>
          <w:rFonts w:hint="eastAsia" w:asciiTheme="minorEastAsia" w:hAnsiTheme="minorEastAsia" w:eastAsiaTheme="minorEastAsia"/>
          <w:b/>
          <w:bCs/>
          <w:szCs w:val="21"/>
        </w:rPr>
      </w:pPr>
      <w:r/>
      <w:bookmarkStart w:id="55"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56" w:name="OLE_LINK7"/>
      <w:r>
        <w:rPr>
          <w:rFonts w:hint="eastAsia" w:asciiTheme="minorEastAsia" w:hAnsiTheme="minorEastAsia" w:eastAsiaTheme="minorEastAsia"/>
          <w:szCs w:val="21"/>
        </w:rPr>
        <w:t xml:space="preserve">投标人可以拒绝采购代理机构的这一要求而放弃投标</w:t>
      </w:r>
      <w:bookmarkEnd w:id="56"/>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55"/>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14.投标费用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14.2</w:t>
      </w:r>
      <w:bookmarkStart w:id="57" w:name="_Hlk75346033"/>
      <w:r>
        <w:rPr>
          <w:rFonts w:hint="eastAsia" w:asciiTheme="minorEastAsia" w:hAnsiTheme="minorEastAsia" w:eastAsiaTheme="minorEastAsia"/>
          <w:b/>
          <w:szCs w:val="21"/>
        </w:rPr>
        <w:t xml:space="preserve"> </w:t>
      </w:r>
      <w:bookmarkStart w:id="58" w:name="_Hlk75346060"/>
      <w:r>
        <w:rPr>
          <w:rFonts w:hint="eastAsia" w:asciiTheme="minorEastAsia" w:hAnsiTheme="minorEastAsia" w:eastAsiaTheme="minorEastAsia"/>
          <w:b/>
          <w:szCs w:val="21"/>
        </w:rPr>
        <w:t xml:space="preserve">采购代理服务费</w:t>
      </w:r>
      <w:bookmarkEnd w:id="57"/>
      <w:r/>
      <w:bookmarkEnd w:id="58"/>
      <w:r/>
      <w:r/>
    </w:p>
    <w:p>
      <w:pPr>
        <w:pStyle w:val="913"/>
        <w:ind w:left="0" w:firstLine="420"/>
        <w:spacing w:line="360" w:lineRule="auto"/>
        <w:rPr>
          <w:rFonts w:hint="eastAsia" w:asciiTheme="minorEastAsia" w:hAnsiTheme="minorEastAsia" w:eastAsiaTheme="minorEastAsia"/>
          <w:szCs w:val="21"/>
        </w:rPr>
      </w:pPr>
      <w:r/>
      <w:bookmarkStart w:id="59" w:name="_Hlk77845966"/>
      <w:r>
        <w:rPr>
          <w:rFonts w:hint="eastAsia" w:asciiTheme="minorEastAsia" w:hAnsiTheme="minorEastAsia" w:eastAsiaTheme="minorEastAsia"/>
          <w:szCs w:val="21"/>
        </w:rPr>
        <w:t xml:space="preserve">本次采购，中标人参照《招标代理服务收费管理暂行办法》（国家发展计划委员会计价格【2002】1980号）招标收费基准费率计算，中标人在领取中标通知书前向采购代理机构支付。本项费用无需在投标报价表中单列。</w:t>
      </w:r>
      <w:r/>
    </w:p>
    <w:p>
      <w:pPr>
        <w:pStyle w:val="913"/>
        <w:ind w:left="0"/>
        <w:spacing w:line="360" w:lineRule="auto"/>
        <w:rPr>
          <w:rFonts w:hint="eastAsia" w:asciiTheme="minorEastAsia" w:hAnsiTheme="minorEastAsia" w:eastAsiaTheme="minorEastAsia"/>
        </w:rPr>
      </w:pPr>
      <w:r/>
      <w:bookmarkStart w:id="60" w:name="OLE_LINK24"/>
      <w:r>
        <w:rPr>
          <w:rFonts w:hint="eastAsia" w:asciiTheme="minorEastAsia" w:hAnsiTheme="minorEastAsia" w:eastAsiaTheme="minorEastAsia"/>
          <w:szCs w:val="21"/>
        </w:rPr>
        <w:t xml:space="preserve">代理服务费汇款信息：</w:t>
      </w:r>
      <w:r>
        <w:rPr>
          <w:rFonts w:hint="eastAsia" w:asciiTheme="minorEastAsia" w:hAnsiTheme="minorEastAsia" w:eastAsiaTheme="minorEastAsia"/>
          <w:szCs w:val="21"/>
        </w:rPr>
        <w:t xml:space="preserve">单位名称：江苏国采工程咨询有限公司</w:t>
      </w:r>
      <w:r>
        <w:rPr>
          <w:rFonts w:hint="eastAsia" w:asciiTheme="minorEastAsia" w:hAnsiTheme="minorEastAsia" w:eastAsiaTheme="minorEastAsia"/>
        </w:rPr>
      </w:r>
      <w:r/>
    </w:p>
    <w:p>
      <w:pPr>
        <w:pStyle w:val="913"/>
        <w:ind w:left="0" w:firstLine="210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银行账户：3205 0159 5536 0000 1231</w:t>
      </w:r>
      <w:r/>
    </w:p>
    <w:p>
      <w:pPr>
        <w:pStyle w:val="913"/>
        <w:ind w:left="0" w:firstLine="210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开户行：中国建设银行股份有限公司南京鼓楼支行</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注：代理服务费汇款时需备注汇款单位名称、项目名称、项目编号。</w:t>
      </w:r>
      <w:bookmarkEnd w:id="59"/>
      <w:r/>
      <w:bookmarkEnd w:id="6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rPr>
      </w:pPr>
      <w:r/>
      <w:bookmarkStart w:id="61"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61"/>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62" w:name="_Hlk44576482"/>
      <w:r/>
      <w:bookmarkEnd w:id="6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3" w:name="_Hlk81573923"/>
      <w:r/>
      <w:bookmarkStart w:id="64" w:name="_Hlk84583325"/>
      <w:r>
        <w:rPr>
          <w:rFonts w:hint="eastAsia" w:cs="宋体" w:asciiTheme="minorEastAsia" w:hAnsiTheme="minorEastAsia" w:eastAsiaTheme="minorEastAsia"/>
          <w:szCs w:val="21"/>
        </w:rPr>
        <w:t xml:space="preserve">资格审查：依据法律法规和招标文件规定，由</w:t>
      </w:r>
      <w:bookmarkStart w:id="65" w:name="OLE_LINK6"/>
      <w:r>
        <w:rPr>
          <w:rFonts w:hint="eastAsia" w:cs="宋体" w:asciiTheme="minorEastAsia" w:hAnsiTheme="minorEastAsia" w:eastAsiaTheme="minorEastAsia"/>
          <w:szCs w:val="21"/>
        </w:rPr>
        <w:t xml:space="preserve">采购人或采购代理机构</w:t>
      </w:r>
      <w:bookmarkEnd w:id="65"/>
      <w:r>
        <w:rPr>
          <w:rFonts w:hint="eastAsia" w:cs="宋体" w:asciiTheme="minorEastAsia" w:hAnsiTheme="minorEastAsia" w:eastAsiaTheme="minorEastAsia"/>
          <w:szCs w:val="21"/>
        </w:rPr>
        <w:t xml:space="preserve">对投标文件中的资格证明文件进行审查，并向评标委员会反馈审查结论。</w:t>
      </w:r>
      <w:bookmarkEnd w:id="63"/>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rPr>
      </w:pPr>
      <w:r/>
      <w:bookmarkStart w:id="66" w:name="_Hlk81314966"/>
      <w:r/>
      <w:bookmarkStart w:id="67" w:name="_Hlk81573945"/>
      <w:r>
        <w:rPr>
          <w:rFonts w:hint="eastAsia" w:cs="宋体" w:asciiTheme="minorEastAsia" w:hAnsiTheme="minorEastAsia" w:eastAsiaTheme="minorEastAsia"/>
          <w:szCs w:val="21"/>
        </w:rPr>
        <w:t xml:space="preserve">不具备招标文件中规定资格条件的；</w:t>
      </w:r>
      <w:bookmarkEnd w:id="66"/>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8"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）未提供《南京市政府采购投标人信用记录表暨信用承诺书》。</w:t>
      </w:r>
      <w:bookmarkEnd w:id="64"/>
      <w:r/>
      <w:bookmarkEnd w:id="67"/>
      <w:r/>
      <w:bookmarkEnd w:id="68"/>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69" w:name="_Hlk176530503"/>
      <w:r>
        <w:rPr>
          <w:rFonts w:hint="eastAsia" w:cs="宋体" w:asciiTheme="minorEastAsia" w:hAnsiTheme="minorEastAsia" w:eastAsiaTheme="minorEastAsia"/>
          <w:b/>
          <w:bCs/>
          <w:szCs w:val="21"/>
        </w:rPr>
        <w:t xml:space="preserve">实质性要求是指本</w:t>
      </w:r>
      <w:bookmarkStart w:id="70" w:name="OLE_LINK36"/>
      <w:r>
        <w:rPr>
          <w:rFonts w:hint="eastAsia" w:cs="宋体" w:asciiTheme="minorEastAsia" w:hAnsiTheme="minorEastAsia" w:eastAsiaTheme="minorEastAsia"/>
          <w:b/>
          <w:bCs/>
          <w:szCs w:val="21"/>
        </w:rPr>
        <w:t xml:space="preserve">招标文件</w:t>
      </w:r>
      <w:bookmarkStart w:id="71" w:name="OLE_LINK9"/>
      <w:r>
        <w:rPr>
          <w:rFonts w:hint="eastAsia" w:cs="宋体" w:asciiTheme="minorEastAsia" w:hAnsiTheme="minorEastAsia" w:eastAsiaTheme="minorEastAsia"/>
          <w:b/>
          <w:bCs/>
          <w:szCs w:val="21"/>
        </w:rPr>
        <w:t xml:space="preserve">中斜体且有下划线部分，或者打“★”“*”</w:t>
      </w:r>
      <w:bookmarkEnd w:id="71"/>
      <w:r>
        <w:rPr>
          <w:rFonts w:hint="eastAsia" w:cs="宋体" w:asciiTheme="minorEastAsia" w:hAnsiTheme="minorEastAsia" w:eastAsiaTheme="minorEastAsia"/>
          <w:b/>
          <w:bCs/>
          <w:szCs w:val="21"/>
        </w:rPr>
        <w:t xml:space="preserve">等其他文字说明的商务和技术要求。</w:t>
      </w:r>
      <w:bookmarkEnd w:id="69"/>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70"/>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（1）投标人在苏采云系统规定的时间内未成功解密电子投标文件；</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（2）投标人未按照招标文件要求上传电子投标文件；</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（3）投标文件未按照招标文件要求加盖电子公章；</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（4）不具备招标文件中规定实质性要求的；</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（5）投标总价超出采购项目预算或者最高限价的；</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（6）不同投标人的投标文件由同一单位或者个人编制的；</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（7）不同投标人委托同一单位或者个人办理投标事宜；</w:t>
      </w:r>
      <w:r/>
    </w:p>
    <w:p>
      <w:pPr>
        <w:pStyle w:val="1084"/>
        <w:spacing w:line="360" w:lineRule="auto"/>
        <w:rPr>
          <w:rFonts w:hint="eastAsia" w:cs="宋体" w:asciiTheme="minorEastAsia" w:hAnsiTheme="minorEastAsia" w:eastAsiaTheme="minorEastAsia"/>
          <w:szCs w:val="21"/>
        </w:rPr>
      </w:pPr>
      <w:r/>
      <w:bookmarkStart w:id="72" w:name="OLE_LINK8"/>
      <w:r>
        <w:rPr>
          <w:rFonts w:hint="eastAsia" w:cs="宋体" w:asciiTheme="minorEastAsia" w:hAnsiTheme="minorEastAsia" w:eastAsiaTheme="minorEastAsia"/>
          <w:szCs w:val="21"/>
        </w:rPr>
        <w:t xml:space="preserve">（8）</w:t>
      </w:r>
      <w:bookmarkEnd w:id="72"/>
      <w:r>
        <w:rPr>
          <w:rFonts w:hint="eastAsia" w:cs="宋体" w:asciiTheme="minorEastAsia" w:hAnsiTheme="minorEastAsia" w:eastAsiaTheme="minorEastAsia"/>
          <w:szCs w:val="21"/>
        </w:rPr>
        <w:t xml:space="preserve">不同投标人的投标文件载明的项目管理成员</w:t>
      </w:r>
      <w:bookmarkStart w:id="73" w:name="_Hlk176185278"/>
      <w:r>
        <w:rPr>
          <w:rFonts w:hint="eastAsia" w:cs="宋体" w:asciiTheme="minorEastAsia" w:hAnsiTheme="minorEastAsia" w:eastAsiaTheme="minorEastAsia"/>
          <w:szCs w:val="21"/>
        </w:rPr>
        <w:t xml:space="preserve">或者联系人员为同一人</w:t>
      </w:r>
      <w:bookmarkEnd w:id="73"/>
      <w:r>
        <w:rPr>
          <w:rFonts w:hint="eastAsia" w:cs="宋体" w:asciiTheme="minorEastAsia" w:hAnsiTheme="minorEastAsia" w:eastAsiaTheme="minorEastAsia"/>
          <w:szCs w:val="21"/>
        </w:rPr>
        <w:t xml:space="preserve">；</w:t>
      </w:r>
      <w:r/>
    </w:p>
    <w:p>
      <w:pPr>
        <w:pStyle w:val="1084"/>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（9）不同投标人的投标文件异常一致或者投标报价呈规律性差异；</w:t>
      </w:r>
      <w:r/>
    </w:p>
    <w:p>
      <w:pPr>
        <w:pStyle w:val="1084"/>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（10）不同投标人的负责人为同一人或者存在控股、管理关系的；</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4"/>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（12）投标文件含有采购人不能接受的附加条件的；</w:t>
      </w:r>
      <w:r/>
    </w:p>
    <w:p>
      <w:pPr>
        <w:pStyle w:val="1084"/>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74"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74"/>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bookmarkStart w:id="75"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76" w:name="OLE_LINK25"/>
      <w:r>
        <w:rPr>
          <w:rFonts w:hint="eastAsia" w:asciiTheme="minorEastAsia" w:hAnsiTheme="minorEastAsia" w:eastAsiaTheme="minorEastAsia"/>
          <w:b/>
          <w:bCs/>
          <w:szCs w:val="21"/>
        </w:rPr>
        <w:t xml:space="preserve">及时登录苏采云系统查阅</w:t>
      </w:r>
      <w:bookmarkEnd w:id="76"/>
      <w:r>
        <w:rPr>
          <w:rFonts w:hint="eastAsia" w:asciiTheme="minorEastAsia" w:hAnsiTheme="minorEastAsia" w:eastAsiaTheme="minorEastAsia"/>
          <w:b/>
          <w:bCs/>
          <w:szCs w:val="21"/>
        </w:rPr>
        <w:t xml:space="preserve">、答复相关信息，并安排专人与采购代理机构及评标委员会联系。</w:t>
      </w:r>
      <w:bookmarkEnd w:id="75"/>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20.5 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（1）投标报价低于招标项目预算50%的，即投标报价&lt;招标项目预算×50%；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（2）投标报价低于招标项目最高限价45%的，即投标报价&lt;招标项目最高限价×45% ；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（3）评标委员会认定的投标人报价过低、有可能影响产品质量或者不能诚信履约的其他情形。</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b/>
          <w:bCs/>
          <w:szCs w:val="21"/>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采用综合评分法的，评标结果按评审后得分由高到低顺序排列。得分相同的，按投标报价由低到高顺序排列。得分且投标报价相同的并列，按技术指标优劣顺序排列。</w:t>
      </w:r>
      <w:bookmarkStart w:id="77" w:name="_Hlk44576646"/>
      <w:r>
        <w:rPr>
          <w:rFonts w:hint="eastAsia" w:asciiTheme="minorEastAsia" w:hAnsiTheme="minorEastAsia" w:eastAsiaTheme="minorEastAsia"/>
          <w:szCs w:val="21"/>
        </w:rPr>
        <w:t xml:space="preserve">投标文件满足招标文件全部实质性要求，</w:t>
      </w:r>
      <w:bookmarkStart w:id="78" w:name="_Hlk128053036"/>
      <w:r>
        <w:rPr>
          <w:rFonts w:hint="eastAsia" w:asciiTheme="minorEastAsia" w:hAnsiTheme="minorEastAsia" w:eastAsiaTheme="minorEastAsia"/>
          <w:szCs w:val="21"/>
        </w:rPr>
        <w:t xml:space="preserve">且按照评审因素的量化指标评审得分最高的投标人为排名第一的中标候选人，经采购人授权，</w:t>
      </w:r>
      <w:bookmarkEnd w:id="77"/>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78"/>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rPr>
      </w:pPr>
      <w:r/>
      <w:bookmarkStart w:id="79" w:name="_Hlk176188663"/>
      <w:r>
        <w:rPr>
          <w:rFonts w:hint="eastAsia" w:asciiTheme="minorEastAsia" w:hAnsiTheme="minorEastAsia" w:eastAsiaTheme="minorEastAsia"/>
          <w:b/>
          <w:bCs/>
          <w:szCs w:val="21"/>
        </w:rPr>
        <w:t xml:space="preserve">六、签订合同</w:t>
      </w:r>
      <w:bookmarkEnd w:id="79"/>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rPr>
      </w:pPr>
      <w:r/>
      <w:bookmarkStart w:id="80" w:name="_Hlk128053131"/>
      <w:r>
        <w:rPr>
          <w:rFonts w:hint="eastAsia" w:asciiTheme="minorEastAsia" w:hAnsiTheme="minorEastAsia" w:eastAsiaTheme="minorEastAsia"/>
          <w:szCs w:val="21"/>
        </w:rPr>
        <w:t xml:space="preserve">25.3</w:t>
      </w:r>
      <w:bookmarkStart w:id="81"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80"/>
      <w:r/>
      <w:bookmarkEnd w:id="8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82"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82"/>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hint="eastAsia" w:asciiTheme="minorEastAsia" w:hAnsiTheme="minorEastAsia" w:eastAsiaTheme="minorEastAsia"/>
          <w:szCs w:val="21"/>
        </w:rPr>
      </w:pPr>
      <w:r/>
      <w:bookmarkStart w:id="83"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8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rPr>
        <w:br w:type="page" w:clear="all"/>
      </w:r>
      <w:bookmarkStart w:id="84" w:name="_Toc18113"/>
      <w:r/>
      <w:bookmarkStart w:id="85" w:name="_Toc481057145"/>
      <w:r/>
      <w:bookmarkStart w:id="86" w:name="_Toc2754"/>
      <w:r>
        <w:rPr>
          <w:rFonts w:hint="eastAsia" w:asciiTheme="minorEastAsia" w:hAnsiTheme="minorEastAsia" w:eastAsiaTheme="minorEastAsia"/>
          <w:highlight w:val="none"/>
        </w:rPr>
        <w:t xml:space="preserve">第三章 评标标准</w:t>
      </w:r>
      <w:bookmarkEnd w:id="84"/>
      <w:r/>
      <w:bookmarkEnd w:id="85"/>
      <w:r/>
      <w:bookmarkEnd w:id="86"/>
      <w:r/>
      <w:r/>
    </w:p>
    <w:p>
      <w:pPr>
        <w:ind w:firstLine="420"/>
        <w:spacing w:line="360" w:lineRule="auto"/>
        <w:rPr>
          <w:rFonts w:hint="eastAsia" w:asciiTheme="minorEastAsia" w:hAnsiTheme="minorEastAsia" w:eastAsiaTheme="minorEastAsia"/>
          <w:szCs w:val="21"/>
        </w:rPr>
      </w:pPr>
      <w:r/>
      <w:bookmarkStart w:id="87"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88" w:name="_Hlk176529455"/>
      <w:r/>
      <w:bookmarkEnd w:id="87"/>
      <w:r/>
      <w:bookmarkEnd w:id="88"/>
      <w:r/>
      <w:r/>
    </w:p>
    <w:tbl>
      <w:tblPr>
        <w:tblStyle w:val="900"/>
        <w:tblpPr w:horzAnchor="page" w:tblpX="1337" w:vertAnchor="text" w:tblpY="305" w:leftFromText="180" w:topFromText="0" w:rightFromText="180" w:bottomFromText="0"/>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29"/>
        <w:gridCol w:w="5921"/>
        <w:gridCol w:w="702"/>
        <w:gridCol w:w="893"/>
      </w:tblGrid>
      <w:tr>
        <w:trPr>
          <w:trHeight w:val="90"/>
        </w:trPr>
        <w:tc>
          <w:tcPr>
            <w:tcW w:w="404" w:type="pct"/>
            <w:vAlign w:val="center"/>
            <w:textDirection w:val="lrTb"/>
            <w:noWrap w:val="false"/>
          </w:tcPr>
          <w:p>
            <w:pPr>
              <w:contextualSpacing/>
              <w:jc w:val="center"/>
              <w:spacing w:line="360" w:lineRule="auto"/>
              <w:rPr>
                <w:rFonts w:hint="eastAsia" w:ascii="宋体" w:hAnsi="宋体" w:cs="宋体"/>
                <w:b/>
                <w:szCs w:val="21"/>
              </w:rPr>
            </w:pPr>
            <w:r/>
            <w:bookmarkStart w:id="89" w:name="_Toc14826"/>
            <w:r>
              <w:rPr>
                <w:rFonts w:hint="eastAsia" w:ascii="宋体" w:hAnsi="宋体" w:cs="宋体"/>
                <w:b/>
                <w:szCs w:val="21"/>
              </w:rPr>
              <w:t xml:space="preserve">序号</w:t>
            </w:r>
            <w:r/>
          </w:p>
        </w:tc>
        <w:tc>
          <w:tcPr>
            <w:tcW w:w="600" w:type="pct"/>
            <w:vAlign w:val="center"/>
            <w:textDirection w:val="lrTb"/>
            <w:noWrap w:val="false"/>
          </w:tcPr>
          <w:p>
            <w:pPr>
              <w:contextualSpacing/>
              <w:jc w:val="center"/>
              <w:spacing w:line="360" w:lineRule="auto"/>
              <w:rPr>
                <w:rFonts w:hint="eastAsia" w:ascii="宋体" w:hAnsi="宋体" w:cs="宋体"/>
                <w:b/>
                <w:szCs w:val="21"/>
              </w:rPr>
            </w:pPr>
            <w:r>
              <w:rPr>
                <w:rFonts w:hint="eastAsia" w:ascii="宋体" w:hAnsi="宋体" w:cs="宋体"/>
                <w:b/>
                <w:szCs w:val="21"/>
              </w:rPr>
              <w:t xml:space="preserve">评审因素</w:t>
            </w:r>
            <w:r/>
          </w:p>
        </w:tc>
        <w:tc>
          <w:tcPr>
            <w:tcW w:w="3147" w:type="pct"/>
            <w:vAlign w:val="center"/>
            <w:textDirection w:val="lrTb"/>
            <w:noWrap w:val="false"/>
          </w:tcPr>
          <w:p>
            <w:pPr>
              <w:contextualSpacing/>
              <w:jc w:val="center"/>
              <w:spacing w:line="360" w:lineRule="auto"/>
              <w:rPr>
                <w:rFonts w:hint="eastAsia" w:ascii="宋体" w:hAnsi="宋体" w:cs="宋体"/>
                <w:b/>
                <w:szCs w:val="21"/>
              </w:rPr>
            </w:pPr>
            <w:r>
              <w:rPr>
                <w:rFonts w:hint="eastAsia" w:ascii="宋体" w:hAnsi="宋体" w:cs="宋体"/>
                <w:b/>
                <w:szCs w:val="21"/>
              </w:rPr>
              <w:t xml:space="preserve">评审标准</w:t>
            </w:r>
            <w:r/>
          </w:p>
        </w:tc>
        <w:tc>
          <w:tcPr>
            <w:tcW w:w="373" w:type="pct"/>
            <w:vAlign w:val="center"/>
            <w:textDirection w:val="lrTb"/>
            <w:noWrap w:val="false"/>
          </w:tcPr>
          <w:p>
            <w:pPr>
              <w:contextualSpacing/>
              <w:jc w:val="center"/>
              <w:spacing w:line="360" w:lineRule="auto"/>
              <w:rPr>
                <w:rFonts w:hint="eastAsia" w:ascii="宋体" w:hAnsi="宋体" w:cs="宋体"/>
                <w:b/>
                <w:szCs w:val="21"/>
              </w:rPr>
            </w:pPr>
            <w:r>
              <w:rPr>
                <w:rFonts w:hint="eastAsia" w:ascii="宋体" w:hAnsi="宋体" w:cs="宋体"/>
                <w:b/>
                <w:szCs w:val="21"/>
              </w:rPr>
              <w:t xml:space="preserve">分值</w:t>
            </w:r>
            <w:r/>
          </w:p>
        </w:tc>
        <w:tc>
          <w:tcPr>
            <w:tcW w:w="474" w:type="pct"/>
            <w:vAlign w:val="center"/>
            <w:textDirection w:val="lrTb"/>
            <w:noWrap w:val="false"/>
          </w:tcPr>
          <w:p>
            <w:pPr>
              <w:contextualSpacing/>
              <w:jc w:val="center"/>
              <w:spacing w:line="360" w:lineRule="auto"/>
              <w:rPr>
                <w:rFonts w:hint="eastAsia" w:ascii="宋体" w:hAnsi="宋体" w:cs="宋体"/>
                <w:b/>
                <w:szCs w:val="21"/>
              </w:rPr>
            </w:pPr>
            <w:r>
              <w:rPr>
                <w:rFonts w:hint="eastAsia" w:ascii="宋体" w:hAnsi="宋体" w:cs="宋体"/>
                <w:b/>
                <w:szCs w:val="21"/>
              </w:rPr>
              <w:t xml:space="preserve">类型</w:t>
            </w:r>
            <w:r/>
          </w:p>
        </w:tc>
      </w:tr>
      <w:tr>
        <w:trPr>
          <w:trHeight w:val="90"/>
        </w:trPr>
        <w:tc>
          <w:tcPr>
            <w:gridSpan w:val="5"/>
            <w:tcW w:w="5000" w:type="pct"/>
            <w:vAlign w:val="center"/>
            <w:textDirection w:val="lrTb"/>
            <w:noWrap w:val="false"/>
          </w:tcPr>
          <w:p>
            <w:pPr>
              <w:contextualSpacing/>
              <w:jc w:val="center"/>
              <w:spacing w:line="360" w:lineRule="auto"/>
              <w:rPr>
                <w:rFonts w:hint="eastAsia" w:ascii="宋体" w:hAnsi="宋体" w:cs="宋体"/>
                <w:b/>
                <w:szCs w:val="21"/>
              </w:rPr>
            </w:pPr>
            <w:r>
              <w:rPr>
                <w:rFonts w:hint="eastAsia" w:ascii="宋体" w:hAnsi="宋体" w:cs="宋体"/>
                <w:b/>
                <w:szCs w:val="21"/>
              </w:rPr>
              <w:t xml:space="preserve">一、价格 10分</w:t>
            </w:r>
            <w:r/>
          </w:p>
        </w:tc>
      </w:tr>
      <w:tr>
        <w:trPr>
          <w:trHeight w:val="1953"/>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价格</w:t>
            </w:r>
            <w:r/>
          </w:p>
        </w:tc>
        <w:tc>
          <w:tcPr>
            <w:tcW w:w="3147" w:type="pct"/>
            <w:vAlign w:val="center"/>
            <w:textDirection w:val="lrTb"/>
            <w:noWrap w:val="false"/>
          </w:tcPr>
          <w:p>
            <w:pPr>
              <w:contextualSpacing/>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采用低价优先法计算，即满足采购文件要求且投标报价最低的为评标基准价，其价格分为满分10分。</w:t>
            </w:r>
            <w:r/>
          </w:p>
          <w:p>
            <w:pPr>
              <w:contextualSpacing/>
              <w:spacing w:line="360" w:lineRule="auto"/>
              <w:rPr>
                <w:rFonts w:hint="eastAsia" w:ascii="宋体" w:hAnsi="宋体" w:cs="宋体"/>
                <w:szCs w:val="21"/>
              </w:rPr>
            </w:pPr>
            <w:r>
              <w:rPr>
                <w:rFonts w:hint="eastAsia" w:ascii="宋体" w:hAnsi="宋体" w:cs="宋体"/>
                <w:szCs w:val="21"/>
              </w:rPr>
              <w:t xml:space="preserve">其他投标人的价格分统一按照下列公式计算：投标报价得分=（评标基准价/投标报价）×10（小数点保留两位）</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10分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价格分</w:t>
            </w:r>
            <w:r/>
          </w:p>
        </w:tc>
      </w:tr>
      <w:tr>
        <w:trPr>
          <w:trHeight w:val="90"/>
        </w:trPr>
        <w:tc>
          <w:tcPr>
            <w:gridSpan w:val="5"/>
            <w:tcW w:w="50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b/>
                <w:szCs w:val="21"/>
              </w:rPr>
              <w:t xml:space="preserve">二、商务</w:t>
            </w:r>
            <w:r>
              <w:rPr>
                <w:rFonts w:hint="eastAsia" w:ascii="宋体" w:hAnsi="宋体" w:cs="宋体"/>
                <w:b/>
                <w:bCs/>
                <w:spacing w:val="-2"/>
                <w:szCs w:val="21"/>
              </w:rPr>
              <w:t xml:space="preserve">32</w:t>
            </w:r>
            <w:r>
              <w:rPr>
                <w:rFonts w:hint="eastAsia" w:ascii="宋体" w:hAnsi="宋体" w:cs="宋体"/>
                <w:b/>
                <w:szCs w:val="21"/>
              </w:rPr>
              <w:t xml:space="preserve">分</w:t>
            </w:r>
            <w:r/>
          </w:p>
        </w:tc>
      </w:tr>
      <w:tr>
        <w:trPr>
          <w:trHeight w:val="1953"/>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项目业绩</w:t>
            </w:r>
            <w:r/>
          </w:p>
        </w:tc>
        <w:tc>
          <w:tcPr>
            <w:tcW w:w="3147" w:type="pct"/>
            <w:vAlign w:val="center"/>
            <w:textDirection w:val="lrTb"/>
            <w:noWrap w:val="false"/>
          </w:tcPr>
          <w:p>
            <w:pPr>
              <w:contextualSpacing/>
              <w:spacing w:line="360" w:lineRule="auto"/>
              <w:rPr>
                <w:rFonts w:hint="eastAsia" w:ascii="宋体" w:hAnsi="宋体" w:cs="宋体"/>
                <w:szCs w:val="21"/>
              </w:rPr>
            </w:pPr>
            <w:r>
              <w:rPr>
                <w:rFonts w:hint="eastAsia" w:ascii="宋体" w:hAnsi="宋体" w:cs="宋体"/>
                <w:szCs w:val="21"/>
              </w:rPr>
              <w:t xml:space="preserve">2019年1月1日</w:t>
            </w:r>
            <w:r>
              <w:rPr>
                <w:rFonts w:hint="eastAsia" w:ascii="宋体" w:hAnsi="宋体" w:cs="宋体"/>
                <w:szCs w:val="21"/>
                <w:lang w:eastAsia="zh-CN"/>
              </w:rPr>
              <w:t xml:space="preserve">（</w:t>
            </w:r>
            <w:r>
              <w:rPr>
                <w:rFonts w:hint="eastAsia" w:ascii="宋体" w:hAnsi="宋体" w:cs="宋体"/>
                <w:szCs w:val="21"/>
                <w:lang w:val="en-US" w:eastAsia="zh-CN"/>
              </w:rPr>
              <w:t xml:space="preserve">含</w:t>
            </w:r>
            <w:r>
              <w:rPr>
                <w:rFonts w:hint="eastAsia" w:ascii="宋体" w:hAnsi="宋体" w:cs="宋体"/>
                <w:szCs w:val="21"/>
                <w:lang w:eastAsia="zh-CN"/>
              </w:rPr>
              <w:t xml:space="preserve">）</w:t>
            </w:r>
            <w:r>
              <w:rPr>
                <w:rFonts w:hint="eastAsia" w:ascii="宋体" w:hAnsi="宋体" w:cs="宋体"/>
                <w:szCs w:val="21"/>
              </w:rPr>
              <w:t xml:space="preserve">至今，投标人承接过类似战略研究项目的，每个项目得3分，最高得9分；</w:t>
            </w:r>
            <w:r/>
          </w:p>
          <w:p>
            <w:pPr>
              <w:contextualSpacing/>
              <w:spacing w:line="360" w:lineRule="auto"/>
              <w:rPr>
                <w:rFonts w:hint="eastAsia" w:ascii="宋体" w:hAnsi="宋体" w:cs="宋体"/>
                <w:szCs w:val="21"/>
              </w:rPr>
            </w:pPr>
            <w:r>
              <w:rPr>
                <w:rFonts w:hint="eastAsia" w:ascii="宋体" w:hAnsi="宋体" w:cs="宋体"/>
                <w:szCs w:val="21"/>
              </w:rPr>
              <w:t xml:space="preserve">注：以合同签订时间为准，需附上合同关键页(含签订合同双方的单位名称、合同项目名称与双方落款盖章、签订日期)复印件作为证明资料并加盖公章。</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9分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客观分</w:t>
            </w:r>
            <w:r/>
          </w:p>
        </w:tc>
      </w:tr>
      <w:tr>
        <w:trPr>
          <w:trHeight w:val="497"/>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2</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拟投入本项目的总负责人</w:t>
            </w:r>
            <w:r/>
          </w:p>
        </w:tc>
        <w:tc>
          <w:tcPr>
            <w:tcW w:w="314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拟投入本项目的总负责人：</w:t>
            </w:r>
            <w:r/>
          </w:p>
          <w:p>
            <w:pPr>
              <w:spacing w:line="360" w:lineRule="auto"/>
              <w:rPr>
                <w:rFonts w:hint="eastAsia" w:ascii="宋体" w:hAnsi="宋体" w:cs="宋体"/>
                <w:szCs w:val="21"/>
              </w:rPr>
            </w:pPr>
            <w:r>
              <w:rPr>
                <w:rFonts w:hint="eastAsia" w:ascii="宋体" w:hAnsi="宋体" w:cs="宋体"/>
                <w:szCs w:val="21"/>
              </w:rPr>
              <w:t xml:space="preserve">（1）其具有教授级(或正高级)高级工程师职称，且具有注册城乡规划师或咨询工程师的，得6分；</w:t>
            </w:r>
            <w:r/>
          </w:p>
          <w:p>
            <w:pPr>
              <w:spacing w:line="360" w:lineRule="auto"/>
              <w:rPr>
                <w:rFonts w:hint="eastAsia" w:ascii="宋体" w:hAnsi="宋体" w:cs="宋体"/>
                <w:szCs w:val="21"/>
              </w:rPr>
            </w:pPr>
            <w:r>
              <w:rPr>
                <w:rFonts w:hint="eastAsia" w:ascii="宋体" w:hAnsi="宋体" w:cs="宋体"/>
                <w:szCs w:val="21"/>
              </w:rPr>
              <w:t xml:space="preserve">（2）其具有高级工程师职称，且具有注册城乡规划师或咨询工程师的，得3分；</w:t>
            </w:r>
            <w:r/>
          </w:p>
          <w:p>
            <w:pPr>
              <w:spacing w:line="360" w:lineRule="auto"/>
              <w:rPr>
                <w:rFonts w:hint="eastAsia" w:ascii="宋体" w:hAnsi="宋体" w:cs="宋体"/>
                <w:szCs w:val="21"/>
              </w:rPr>
            </w:pPr>
            <w:r>
              <w:rPr>
                <w:rFonts w:hint="eastAsia" w:ascii="宋体" w:hAnsi="宋体" w:cs="宋体"/>
                <w:szCs w:val="21"/>
              </w:rPr>
              <w:t xml:space="preserve">（3）其他情况不得分。</w:t>
            </w:r>
            <w:r/>
          </w:p>
          <w:p>
            <w:pPr>
              <w:spacing w:line="360" w:lineRule="auto"/>
              <w:rPr>
                <w:rFonts w:hint="eastAsia" w:ascii="宋体" w:hAnsi="宋体" w:cs="宋体"/>
                <w:szCs w:val="21"/>
              </w:rPr>
            </w:pPr>
            <w:r>
              <w:rPr>
                <w:rFonts w:hint="eastAsia" w:ascii="宋体" w:hAnsi="宋体" w:cs="宋体"/>
                <w:szCs w:val="21"/>
              </w:rPr>
              <w:t xml:space="preserve">注：需提供相关证书及在投标人单位任职证明文件(用工证明文件或劳动合同或2025年8月1日至今任何1个月社保证明)复印件并加盖公章，不符合要求或不提供不得分。按最高得分计算，不累计。</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6分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客观分</w:t>
            </w:r>
            <w:r/>
          </w:p>
        </w:tc>
      </w:tr>
      <w:tr>
        <w:trPr>
          <w:trHeight w:val="1989"/>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3</w:t>
            </w:r>
            <w:r/>
          </w:p>
        </w:tc>
        <w:tc>
          <w:tcPr>
            <w:tcW w:w="60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专业人员技术力量</w:t>
            </w:r>
            <w:r/>
          </w:p>
        </w:tc>
        <w:tc>
          <w:tcPr>
            <w:shd w:val="clear" w:color="auto" w:fill="ffffff"/>
            <w:tcW w:w="3147"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项目组成员（除总负责人外）具有城市（乡）规划、交通相关专业职称，具备高级及以上职称的每提供一个得3分；具备中级职称的每提供一个得1分。每种类型专业不重复计分，本项最高得6分。职称同一人员不重复计分，以最高职称计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（2）项目组成员（除总负责人外）具有注册城乡规划师，每提供一个证书得2分，本项最高得8分。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本项最高得14分。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1）（2）项人员可重复计分。人员专业以职称证书上的专业为准，若职称证书体现不出专业，以毕业证书专业为准。需提供人员相关证书及2025年8月1日至今任何1个月在投标人单位缴纳社保证明复印件（如涉及到退休返聘人员，需提供退休证和返聘合同），否则无效。</w:t>
            </w:r>
            <w:r/>
          </w:p>
        </w:tc>
        <w:tc>
          <w:tcPr>
            <w:tcW w:w="373" w:type="pct"/>
            <w:vAlign w:val="center"/>
            <w:textDirection w:val="lrTb"/>
            <w:noWrap w:val="false"/>
          </w:tcPr>
          <w:p>
            <w:pPr>
              <w:contextualSpacing/>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szCs w:val="21"/>
                <w:highlight w:val="none"/>
              </w:rPr>
              <w:t xml:space="preserve">分</w:t>
            </w:r>
            <w:r/>
          </w:p>
        </w:tc>
        <w:tc>
          <w:tcPr>
            <w:tcW w:w="474" w:type="pct"/>
            <w:vAlign w:val="center"/>
            <w:textDirection w:val="lrTb"/>
            <w:noWrap w:val="false"/>
          </w:tcPr>
          <w:p>
            <w:pPr>
              <w:contextualSpacing/>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客观分</w:t>
            </w:r>
            <w:r/>
          </w:p>
        </w:tc>
      </w:tr>
      <w:tr>
        <w:trPr>
          <w:trHeight w:val="90"/>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4</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团队服务响应效率情况</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rPr>
            </w:pPr>
            <w:r>
              <w:rPr>
                <w:rFonts w:hint="eastAsia" w:ascii="宋体" w:hAnsi="宋体" w:cs="宋体"/>
                <w:szCs w:val="21"/>
              </w:rPr>
              <w:t xml:space="preserve">投标人承诺：</w:t>
            </w:r>
            <w:r/>
          </w:p>
          <w:p>
            <w:pPr>
              <w:numPr>
                <w:ilvl w:val="0"/>
                <w:numId w:val="5"/>
              </w:numPr>
              <w:contextualSpacing/>
              <w:spacing w:line="360" w:lineRule="auto"/>
              <w:rPr>
                <w:rFonts w:hint="eastAsia" w:ascii="宋体" w:hAnsi="宋体" w:cs="宋体"/>
                <w:szCs w:val="21"/>
              </w:rPr>
            </w:pPr>
            <w:r>
              <w:rPr>
                <w:rFonts w:hint="eastAsia" w:ascii="宋体" w:hAnsi="宋体" w:cs="宋体"/>
                <w:szCs w:val="21"/>
              </w:rPr>
              <w:t xml:space="preserve">投标人收到采购人需要提供团队服务的通知(电话或书面)后30分钟内(含30分钟)并提供服务的，得3分；</w:t>
            </w:r>
            <w:r/>
          </w:p>
          <w:p>
            <w:pPr>
              <w:numPr>
                <w:ilvl w:val="0"/>
                <w:numId w:val="5"/>
              </w:numPr>
              <w:contextualSpacing/>
              <w:spacing w:line="360" w:lineRule="auto"/>
              <w:rPr>
                <w:rFonts w:hint="eastAsia" w:ascii="宋体" w:hAnsi="宋体" w:cs="宋体"/>
                <w:szCs w:val="21"/>
              </w:rPr>
            </w:pPr>
            <w:r>
              <w:rPr>
                <w:rFonts w:hint="eastAsia" w:ascii="宋体" w:hAnsi="宋体" w:cs="宋体"/>
                <w:szCs w:val="21"/>
              </w:rPr>
              <w:t xml:space="preserve">投标人收到采购人需要提供团队服务的通知(电话或书面)后超过30分钟但1小时内(含1小时)并提供服务的，得2分；</w:t>
            </w:r>
            <w:r/>
          </w:p>
          <w:p>
            <w:pPr>
              <w:numPr>
                <w:ilvl w:val="0"/>
                <w:numId w:val="5"/>
              </w:numPr>
              <w:contextualSpacing/>
              <w:spacing w:line="360" w:lineRule="auto"/>
              <w:rPr>
                <w:rFonts w:hint="eastAsia" w:ascii="宋体" w:hAnsi="宋体" w:cs="宋体"/>
                <w:szCs w:val="21"/>
              </w:rPr>
            </w:pPr>
            <w:r>
              <w:rPr>
                <w:rFonts w:hint="eastAsia" w:ascii="宋体" w:hAnsi="宋体" w:cs="宋体"/>
                <w:szCs w:val="21"/>
              </w:rPr>
              <w:t xml:space="preserve">投标人收到采购人需要提供团队服务的(电话或书面)后超过1小时但2小时内(含2小时)并提供服务的，得1分；</w:t>
            </w:r>
            <w:r/>
          </w:p>
          <w:p>
            <w:pPr>
              <w:numPr>
                <w:ilvl w:val="0"/>
                <w:numId w:val="5"/>
              </w:numPr>
              <w:contextualSpacing/>
              <w:spacing w:line="360" w:lineRule="auto"/>
              <w:rPr>
                <w:rFonts w:hint="eastAsia" w:ascii="宋体" w:hAnsi="宋体" w:cs="宋体"/>
                <w:szCs w:val="21"/>
              </w:rPr>
            </w:pPr>
            <w:r>
              <w:rPr>
                <w:rFonts w:hint="eastAsia" w:ascii="宋体" w:hAnsi="宋体" w:cs="宋体"/>
                <w:szCs w:val="21"/>
              </w:rPr>
              <w:t xml:space="preserve">其余情况不得分。</w:t>
            </w:r>
            <w:r/>
          </w:p>
          <w:p>
            <w:pPr>
              <w:contextualSpacing/>
              <w:spacing w:line="360" w:lineRule="auto"/>
              <w:rPr>
                <w:rFonts w:hint="eastAsia" w:ascii="宋体" w:hAnsi="宋体" w:cs="宋体"/>
                <w:szCs w:val="21"/>
              </w:rPr>
            </w:pPr>
            <w:r>
              <w:rPr>
                <w:rFonts w:hint="eastAsia" w:ascii="宋体" w:hAnsi="宋体" w:cs="宋体"/>
                <w:szCs w:val="21"/>
              </w:rPr>
              <w:t xml:space="preserve">注：需提供承诺函并加盖投标人公章，承诺函格式自拟，未提供或未按要求提供不得分。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3分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客观分</w:t>
            </w:r>
            <w:r/>
          </w:p>
        </w:tc>
      </w:tr>
      <w:tr>
        <w:trPr>
          <w:trHeight w:val="90"/>
        </w:trPr>
        <w:tc>
          <w:tcPr>
            <w:gridSpan w:val="5"/>
            <w:tcW w:w="50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b/>
                <w:szCs w:val="21"/>
              </w:rPr>
              <w:t xml:space="preserve">三、技术58分</w:t>
            </w:r>
            <w:r/>
          </w:p>
        </w:tc>
      </w:tr>
      <w:tr>
        <w:trPr>
          <w:trHeight w:val="90"/>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对项目背景、发展趋势和目标意</w:t>
            </w:r>
            <w:r/>
          </w:p>
          <w:p>
            <w:pPr>
              <w:contextualSpacing/>
              <w:jc w:val="center"/>
              <w:spacing w:line="360" w:lineRule="auto"/>
              <w:rPr>
                <w:rFonts w:hint="eastAsia" w:ascii="宋体" w:hAnsi="宋体" w:cs="宋体"/>
                <w:szCs w:val="21"/>
              </w:rPr>
            </w:pPr>
            <w:r>
              <w:rPr>
                <w:rFonts w:hint="eastAsia" w:ascii="宋体" w:hAnsi="宋体" w:cs="宋体"/>
                <w:szCs w:val="21"/>
              </w:rPr>
              <w:t xml:space="preserve">义的理解程度</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根据投标人对本</w:t>
            </w:r>
            <w:r>
              <w:rPr>
                <w:rFonts w:hint="eastAsia" w:ascii="宋体" w:hAnsi="宋体" w:cs="宋体"/>
                <w:b/>
                <w:bCs/>
                <w:szCs w:val="21"/>
                <w:highlight w:val="none"/>
              </w:rPr>
              <w:t xml:space="preserve">项目背景（3分）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发展趋势（3分）和目标意义的理解程度（3分）</w:t>
            </w:r>
            <w:r>
              <w:rPr>
                <w:rFonts w:hint="eastAsia" w:ascii="宋体" w:hAnsi="宋体" w:cs="宋体"/>
                <w:szCs w:val="21"/>
                <w:highlight w:val="none"/>
              </w:rPr>
              <w:t xml:space="preserve">进行评审，具体评分标准如下：</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（1）上述每项内容完整，科学合理、思路清晰、操作性强，能把握重点、难点的，得3分；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（3）上述每项内容偏离项目特点和要求，缺乏实际可操作性或未提供的不得分。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每项内容最高3分，累计得分不超过9分。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9分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465"/>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2</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相关工作基础掌握情况</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考核各投标人对项目所在地</w:t>
            </w:r>
            <w:r>
              <w:rPr>
                <w:rFonts w:hint="eastAsia" w:ascii="宋体" w:hAnsi="宋体" w:cs="宋体"/>
                <w:b/>
                <w:bCs/>
                <w:szCs w:val="21"/>
                <w:highlight w:val="none"/>
              </w:rPr>
              <w:t xml:space="preserve">现状基础资料掌握程度（3分）</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城市总体发展战略规划（3分）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国民经济和社会发展规划（3分）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城市总体规划（3分）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国土空间总体规划（3分）</w:t>
            </w:r>
            <w:r>
              <w:rPr>
                <w:rFonts w:hint="eastAsia" w:ascii="宋体" w:hAnsi="宋体" w:cs="宋体"/>
                <w:szCs w:val="21"/>
                <w:highlight w:val="none"/>
              </w:rPr>
              <w:t xml:space="preserve">相关规划工作熟悉程度进行评审，具体评分标准如下：</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（1）上述每项内容完整，科学合理、思路清晰、操作性强，能把握重点、难点的，得3分；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（3）上述每项内容偏离项目特点和要求，缺乏实际可操作性或未提供的不得分。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每项内容最高3分，累计得分不超过15分。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15分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260"/>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3</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项目技术路线、总体工作思路、</w:t>
            </w:r>
            <w:r/>
          </w:p>
          <w:p>
            <w:pPr>
              <w:contextualSpacing/>
              <w:jc w:val="center"/>
              <w:spacing w:line="360" w:lineRule="auto"/>
              <w:rPr>
                <w:rFonts w:hint="eastAsia" w:ascii="宋体" w:hAnsi="宋体" w:cs="宋体"/>
                <w:szCs w:val="21"/>
              </w:rPr>
            </w:pPr>
            <w:r>
              <w:rPr>
                <w:rFonts w:hint="eastAsia" w:ascii="宋体" w:hAnsi="宋体" w:cs="宋体"/>
                <w:szCs w:val="21"/>
              </w:rPr>
              <w:t xml:space="preserve">初步方案</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rPr>
            </w:pPr>
            <w:r>
              <w:rPr>
                <w:rFonts w:hint="eastAsia" w:ascii="宋体" w:hAnsi="宋体" w:cs="宋体"/>
                <w:szCs w:val="21"/>
              </w:rPr>
              <w:t xml:space="preserve">投标人根据采购需求制定符合项目发展需要的</w:t>
            </w:r>
            <w:r>
              <w:rPr>
                <w:rFonts w:hint="eastAsia" w:ascii="宋体" w:hAnsi="宋体" w:cs="宋体"/>
                <w:b/>
                <w:bCs/>
                <w:szCs w:val="21"/>
              </w:rPr>
              <w:t xml:space="preserve">技术路线（3分）</w:t>
            </w:r>
            <w:r>
              <w:rPr>
                <w:rFonts w:hint="eastAsia" w:ascii="宋体" w:hAnsi="宋体" w:cs="宋体"/>
                <w:b/>
                <w:bCs/>
                <w:szCs w:val="21"/>
                <w:lang w:eastAsia="zh-CN"/>
              </w:rPr>
              <w:t xml:space="preserve">；</w:t>
            </w:r>
            <w:r>
              <w:rPr>
                <w:rFonts w:hint="eastAsia" w:ascii="宋体" w:hAnsi="宋体" w:cs="宋体"/>
                <w:b/>
                <w:bCs/>
                <w:szCs w:val="21"/>
              </w:rPr>
              <w:t xml:space="preserve">总体工作思路（3分）</w:t>
            </w:r>
            <w:r>
              <w:rPr>
                <w:rFonts w:hint="eastAsia" w:ascii="宋体" w:hAnsi="宋体" w:cs="宋体"/>
                <w:b/>
                <w:bCs/>
                <w:szCs w:val="21"/>
                <w:lang w:eastAsia="zh-CN"/>
              </w:rPr>
              <w:t xml:space="preserve">；</w:t>
            </w:r>
            <w:r>
              <w:rPr>
                <w:rFonts w:hint="eastAsia" w:ascii="宋体" w:hAnsi="宋体" w:cs="宋体"/>
                <w:b/>
                <w:bCs/>
                <w:szCs w:val="21"/>
              </w:rPr>
              <w:t xml:space="preserve">工作分工（3分）</w:t>
            </w:r>
            <w:r>
              <w:rPr>
                <w:rFonts w:hint="eastAsia" w:ascii="宋体" w:hAnsi="宋体" w:cs="宋体"/>
                <w:b/>
                <w:bCs/>
                <w:szCs w:val="21"/>
                <w:lang w:eastAsia="zh-CN"/>
              </w:rPr>
              <w:t xml:space="preserve">；</w:t>
            </w:r>
            <w:r>
              <w:rPr>
                <w:rFonts w:hint="eastAsia" w:ascii="宋体" w:hAnsi="宋体" w:cs="宋体"/>
                <w:b/>
                <w:bCs/>
                <w:szCs w:val="21"/>
              </w:rPr>
              <w:t xml:space="preserve">初步方案（3分）</w:t>
            </w:r>
            <w:r>
              <w:rPr>
                <w:rFonts w:hint="eastAsia" w:ascii="宋体" w:hAnsi="宋体" w:cs="宋体"/>
                <w:szCs w:val="21"/>
              </w:rPr>
              <w:t xml:space="preserve">进行评审，具体评分标准如下：</w:t>
            </w:r>
            <w:r/>
          </w:p>
          <w:p>
            <w:pPr>
              <w:contextualSpacing/>
              <w:spacing w:line="360" w:lineRule="auto"/>
              <w:rPr>
                <w:rFonts w:hint="eastAsia" w:ascii="宋体" w:hAnsi="宋体" w:cs="宋体"/>
                <w:szCs w:val="21"/>
              </w:rPr>
            </w:pPr>
            <w:r>
              <w:rPr>
                <w:rFonts w:hint="eastAsia" w:ascii="宋体" w:hAnsi="宋体" w:cs="宋体"/>
                <w:szCs w:val="21"/>
              </w:rPr>
              <w:t xml:space="preserve">（1）上述每项内容完整，科学合理、思路清晰、操作性强，能把握重点、难点的，得3分； </w:t>
            </w:r>
            <w:r/>
          </w:p>
          <w:p>
            <w:pPr>
              <w:contextualSpacing/>
              <w:spacing w:line="360" w:lineRule="auto"/>
              <w:rPr>
                <w:rFonts w:hint="eastAsia" w:ascii="宋体" w:hAnsi="宋体" w:cs="宋体"/>
                <w:szCs w:val="21"/>
              </w:rPr>
            </w:pPr>
            <w:r>
              <w:rPr>
                <w:rFonts w:hint="eastAsia" w:ascii="宋体" w:hAnsi="宋体" w:cs="宋体"/>
                <w:szCs w:val="21"/>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rPr>
            </w:pPr>
            <w:r>
              <w:rPr>
                <w:rFonts w:hint="eastAsia" w:ascii="宋体" w:hAnsi="宋体" w:cs="宋体"/>
                <w:szCs w:val="21"/>
              </w:rPr>
              <w:t xml:space="preserve">（3）上述每项内容偏离项目特点和要求，缺乏实际可操作性或未提供的不得分。</w:t>
            </w:r>
            <w:r/>
          </w:p>
          <w:p>
            <w:pPr>
              <w:contextualSpacing/>
              <w:spacing w:line="360" w:lineRule="auto"/>
              <w:rPr>
                <w:rFonts w:hint="eastAsia" w:ascii="宋体" w:hAnsi="宋体" w:cs="宋体"/>
                <w:szCs w:val="21"/>
              </w:rPr>
            </w:pPr>
            <w:r>
              <w:rPr>
                <w:rFonts w:hint="eastAsia" w:ascii="宋体" w:hAnsi="宋体" w:cs="宋体"/>
                <w:szCs w:val="21"/>
              </w:rPr>
              <w:t xml:space="preserve">每项内容最高3分，累计得分不超过12分。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12分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130"/>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4</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重点难点分析</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投标人对本项目的</w:t>
            </w:r>
            <w:r>
              <w:rPr>
                <w:rFonts w:hint="eastAsia" w:ascii="宋体" w:hAnsi="宋体" w:cs="宋体"/>
                <w:b/>
                <w:bCs/>
                <w:szCs w:val="21"/>
                <w:highlight w:val="none"/>
              </w:rPr>
              <w:t xml:space="preserve">重点难点分析（3分），并提出相应的措施建议（3分）</w:t>
            </w:r>
            <w:r>
              <w:rPr>
                <w:rFonts w:hint="eastAsia" w:ascii="宋体" w:hAnsi="宋体" w:cs="宋体"/>
                <w:szCs w:val="21"/>
                <w:highlight w:val="none"/>
              </w:rPr>
              <w:t xml:space="preserve">进行评审，具体评分标准如下：</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（1）上述每项内容完整，科学合理、思路清晰、操作性强，能把握重点、难点的，得3分；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（3）上述每项内容偏离项目特点和要求，缺乏实际可操作性或未提供的不得分。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每项内容最高3分，累计得分不超过6分。</w:t>
            </w:r>
            <w:r/>
          </w:p>
        </w:tc>
        <w:tc>
          <w:tcPr>
            <w:tcW w:w="373" w:type="pct"/>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6分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1755"/>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5</w:t>
            </w:r>
            <w:r/>
          </w:p>
        </w:tc>
        <w:tc>
          <w:tcPr>
            <w:tcW w:w="600" w:type="pct"/>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工期、进度计划</w:t>
            </w:r>
            <w:r/>
          </w:p>
        </w:tc>
        <w:tc>
          <w:tcPr>
            <w:shd w:val="clear" w:color="auto" w:fill="ffffff"/>
            <w:tcW w:w="3147" w:type="pct"/>
            <w:vAlign w:val="center"/>
            <w:textDirection w:val="lrTb"/>
            <w:noWrap w:val="false"/>
          </w:tcPr>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投标人需针对本项目提供</w:t>
            </w:r>
            <w:r>
              <w:rPr>
                <w:rFonts w:hint="eastAsia" w:ascii="宋体" w:hAnsi="宋体" w:cs="宋体"/>
                <w:b/>
                <w:bCs/>
                <w:szCs w:val="21"/>
              </w:rPr>
              <w:t xml:space="preserve">实施工作时间（2分）与进度计划（2分）</w:t>
            </w:r>
            <w:r>
              <w:rPr>
                <w:rFonts w:hint="eastAsia" w:ascii="宋体" w:hAnsi="宋体" w:cs="宋体"/>
                <w:szCs w:val="21"/>
              </w:rPr>
              <w:t xml:space="preserve">进行评审，具体评分标准如下：</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（1）上述每项内容完整，科学合理、思路清晰、操作性强，能把握重点、难点的，得2分； </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（2）上述每项内容片面，未完全贴合项目实际情况，有瑕疵和轻微偏差，有实际可操作性的，得1分； </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（3）上述每项内容偏离项目特点和要求，缺乏实际可操作性或未提供的不得分。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每项内容最高2分，累计得分不超过4分。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4分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122"/>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6</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质量和技术保障措施</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rPr>
            </w:pPr>
            <w:r>
              <w:rPr>
                <w:rFonts w:hint="eastAsia" w:ascii="宋体" w:hAnsi="宋体" w:cs="宋体"/>
                <w:szCs w:val="21"/>
              </w:rPr>
              <w:t xml:space="preserve">投标人需根据本项目情况提供工作服务承诺与质量保证措施进行评审：</w:t>
            </w:r>
            <w:r/>
          </w:p>
          <w:p>
            <w:pPr>
              <w:contextualSpacing/>
              <w:spacing w:line="360" w:lineRule="auto"/>
              <w:rPr>
                <w:rFonts w:hint="eastAsia" w:ascii="宋体" w:hAnsi="宋体" w:cs="宋体"/>
                <w:szCs w:val="21"/>
              </w:rPr>
            </w:pPr>
            <w:r>
              <w:rPr>
                <w:rFonts w:hint="eastAsia" w:ascii="宋体" w:hAnsi="宋体" w:cs="宋体"/>
                <w:b/>
                <w:bCs/>
                <w:szCs w:val="21"/>
              </w:rPr>
              <w:t xml:space="preserve">包括质量管理目标（2分）</w:t>
            </w:r>
            <w:r>
              <w:rPr>
                <w:rFonts w:hint="eastAsia" w:ascii="宋体" w:hAnsi="宋体" w:cs="宋体"/>
                <w:b/>
                <w:bCs/>
                <w:szCs w:val="21"/>
                <w:lang w:eastAsia="zh-CN"/>
              </w:rPr>
              <w:t xml:space="preserve">；</w:t>
            </w:r>
            <w:r>
              <w:rPr>
                <w:rFonts w:hint="eastAsia" w:ascii="宋体" w:hAnsi="宋体" w:cs="宋体"/>
                <w:b/>
                <w:bCs/>
                <w:szCs w:val="21"/>
              </w:rPr>
              <w:t xml:space="preserve">质量控制过程所使用的方法（2分）</w:t>
            </w:r>
            <w:r>
              <w:rPr>
                <w:rFonts w:hint="eastAsia" w:ascii="宋体" w:hAnsi="宋体" w:cs="宋体"/>
                <w:b/>
                <w:bCs/>
                <w:szCs w:val="21"/>
                <w:lang w:eastAsia="zh-CN"/>
              </w:rPr>
              <w:t xml:space="preserve">；</w:t>
            </w:r>
            <w:r>
              <w:rPr>
                <w:rFonts w:hint="eastAsia" w:ascii="宋体" w:hAnsi="宋体" w:cs="宋体"/>
                <w:b/>
                <w:bCs/>
                <w:szCs w:val="21"/>
              </w:rPr>
              <w:t xml:space="preserve">质量管理的纠偏措施（2分）</w:t>
            </w:r>
            <w:r>
              <w:rPr>
                <w:rFonts w:hint="eastAsia" w:ascii="宋体" w:hAnsi="宋体" w:cs="宋体"/>
                <w:b/>
                <w:bCs/>
                <w:szCs w:val="21"/>
                <w:lang w:eastAsia="zh-CN"/>
              </w:rPr>
              <w:t xml:space="preserve">；</w:t>
            </w:r>
            <w:r>
              <w:rPr>
                <w:rFonts w:hint="eastAsia" w:ascii="宋体" w:hAnsi="宋体" w:cs="宋体"/>
                <w:b/>
                <w:bCs/>
                <w:szCs w:val="21"/>
              </w:rPr>
              <w:t xml:space="preserve">风险预防和应对措施（2分）</w:t>
            </w:r>
            <w:r>
              <w:rPr>
                <w:rFonts w:hint="eastAsia" w:ascii="宋体" w:hAnsi="宋体" w:cs="宋体"/>
                <w:szCs w:val="21"/>
              </w:rPr>
              <w:t xml:space="preserve">进行评审，具体评分标准如下：</w:t>
            </w:r>
            <w:r/>
          </w:p>
          <w:p>
            <w:pPr>
              <w:contextualSpacing/>
              <w:spacing w:line="360" w:lineRule="auto"/>
              <w:rPr>
                <w:rFonts w:hint="eastAsia" w:ascii="宋体" w:hAnsi="宋体" w:cs="宋体"/>
                <w:szCs w:val="21"/>
              </w:rPr>
            </w:pPr>
            <w:r>
              <w:rPr>
                <w:rFonts w:hint="eastAsia" w:ascii="宋体" w:hAnsi="宋体" w:cs="宋体"/>
                <w:szCs w:val="21"/>
              </w:rPr>
              <w:t xml:space="preserve">（1）上述每项内容完整，科学合理、思路清晰、操作性强，能把握重点、难点的，得2分； </w:t>
            </w:r>
            <w:r/>
          </w:p>
          <w:p>
            <w:pPr>
              <w:contextualSpacing/>
              <w:spacing w:line="360" w:lineRule="auto"/>
              <w:rPr>
                <w:rFonts w:hint="eastAsia" w:ascii="宋体" w:hAnsi="宋体" w:cs="宋体"/>
                <w:szCs w:val="21"/>
              </w:rPr>
            </w:pPr>
            <w:r>
              <w:rPr>
                <w:rFonts w:hint="eastAsia" w:ascii="宋体" w:hAnsi="宋体" w:cs="宋体"/>
                <w:szCs w:val="21"/>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rPr>
            </w:pPr>
            <w:r>
              <w:rPr>
                <w:rFonts w:hint="eastAsia" w:ascii="宋体" w:hAnsi="宋体" w:cs="宋体"/>
                <w:szCs w:val="21"/>
              </w:rPr>
              <w:t xml:space="preserve">（3）上述每项内容偏离项目特点和要求，缺乏实际可操作性或未提供的不得分。</w:t>
            </w:r>
            <w:r/>
          </w:p>
          <w:p>
            <w:pPr>
              <w:contextualSpacing/>
              <w:spacing w:line="360" w:lineRule="auto"/>
              <w:rPr>
                <w:rFonts w:hint="eastAsia" w:ascii="宋体" w:hAnsi="宋体" w:cs="宋体"/>
                <w:szCs w:val="21"/>
              </w:rPr>
            </w:pPr>
            <w:r>
              <w:rPr>
                <w:rFonts w:hint="eastAsia" w:ascii="宋体" w:hAnsi="宋体" w:cs="宋体"/>
                <w:szCs w:val="21"/>
              </w:rPr>
              <w:t xml:space="preserve">每项内容最高2分，累计得分不超过8分。</w:t>
            </w:r>
            <w:r/>
          </w:p>
        </w:tc>
        <w:tc>
          <w:tcPr>
            <w:tcW w:w="373"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8分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3209"/>
        </w:trPr>
        <w:tc>
          <w:tcPr>
            <w:tcW w:w="40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7</w:t>
            </w:r>
            <w:r/>
          </w:p>
        </w:tc>
        <w:tc>
          <w:tcPr>
            <w:tcW w:w="600"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后续技术服务</w:t>
            </w:r>
            <w:r/>
          </w:p>
        </w:tc>
        <w:tc>
          <w:tcPr>
            <w:shd w:val="clear" w:color="auto" w:fill="ffffff"/>
            <w:tcW w:w="3147" w:type="pct"/>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投标人根据本项目采购需求提供</w:t>
            </w:r>
            <w:r>
              <w:rPr>
                <w:rFonts w:hint="eastAsia" w:ascii="宋体" w:hAnsi="宋体" w:cs="宋体"/>
                <w:b/>
                <w:bCs/>
                <w:szCs w:val="21"/>
                <w:highlight w:val="none"/>
              </w:rPr>
              <w:t xml:space="preserve">后续技术服务（2分）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工作响应时间（2分）</w:t>
            </w:r>
            <w:r>
              <w:rPr>
                <w:rFonts w:hint="eastAsia" w:ascii="宋体" w:hAnsi="宋体" w:cs="宋体"/>
                <w:szCs w:val="21"/>
                <w:highlight w:val="none"/>
              </w:rPr>
              <w:t xml:space="preserve">进行评审，具体评分标准如下：</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（1）上述每项内容完整，科学合理、思路清晰、操作性强，能把握重点、难点的，得2分；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（2）上述每项内容片面，未完全贴合项目实际情况，有瑕疵和轻微偏差，有实际可操作性的，得1分； </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（3）上述每项内容偏离项目特点和要求，缺乏实际可操作性或未提供的不得分。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每项内容最高2分，累计得分不超过4分。</w:t>
            </w:r>
            <w:r/>
          </w:p>
        </w:tc>
        <w:tc>
          <w:tcPr>
            <w:tcW w:w="373" w:type="pct"/>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4分</w:t>
            </w:r>
            <w:r/>
          </w:p>
        </w:tc>
        <w:tc>
          <w:tcPr>
            <w:tcW w:w="474" w:type="pct"/>
            <w:vAlign w:val="center"/>
            <w:textDirection w:val="lrTb"/>
            <w:noWrap w:val="false"/>
          </w:tcPr>
          <w:p>
            <w:pPr>
              <w:contextualSpacing/>
              <w:jc w:val="center"/>
              <w:spacing w:line="360" w:lineRule="auto"/>
              <w:rPr>
                <w:rFonts w:hint="eastAsia" w:ascii="宋体" w:hAnsi="宋体" w:cs="宋体"/>
                <w:szCs w:val="21"/>
              </w:rPr>
            </w:pPr>
            <w:r>
              <w:rPr>
                <w:rFonts w:hint="eastAsia" w:ascii="宋体" w:hAnsi="宋体" w:cs="宋体"/>
                <w:szCs w:val="21"/>
              </w:rPr>
              <w:t xml:space="preserve">主观分</w:t>
            </w:r>
            <w:r/>
          </w:p>
        </w:tc>
      </w:tr>
      <w:tr>
        <w:trPr>
          <w:trHeight w:val="592"/>
        </w:trPr>
        <w:tc>
          <w:tcPr>
            <w:gridSpan w:val="3"/>
            <w:tcW w:w="4152" w:type="pct"/>
            <w:vAlign w:val="center"/>
            <w:textDirection w:val="lrTb"/>
            <w:noWrap w:val="false"/>
          </w:tcPr>
          <w:p>
            <w:pPr>
              <w:contextualSpacing/>
              <w:jc w:val="center"/>
              <w:spacing w:line="360" w:lineRule="auto"/>
              <w:rPr>
                <w:rFonts w:hint="eastAsia" w:ascii="宋体" w:hAnsi="宋体" w:cs="宋体"/>
                <w:bCs/>
                <w:szCs w:val="21"/>
              </w:rPr>
            </w:pPr>
            <w:r>
              <w:rPr>
                <w:rFonts w:hint="eastAsia" w:ascii="宋体" w:hAnsi="宋体" w:cs="宋体"/>
                <w:bCs/>
                <w:szCs w:val="21"/>
              </w:rPr>
              <w:t xml:space="preserve">合计</w:t>
            </w:r>
            <w:r/>
          </w:p>
        </w:tc>
        <w:tc>
          <w:tcPr>
            <w:tcW w:w="373" w:type="pct"/>
            <w:vAlign w:val="center"/>
            <w:textDirection w:val="lrTb"/>
            <w:noWrap w:val="false"/>
          </w:tcPr>
          <w:p>
            <w:pPr>
              <w:contextualSpacing/>
              <w:jc w:val="center"/>
              <w:spacing w:line="360" w:lineRule="auto"/>
              <w:rPr>
                <w:rFonts w:hint="eastAsia" w:ascii="宋体" w:hAnsi="宋体" w:cs="宋体"/>
                <w:bCs/>
                <w:szCs w:val="21"/>
              </w:rPr>
            </w:pPr>
            <w:r>
              <w:rPr>
                <w:rFonts w:hint="eastAsia" w:ascii="宋体" w:hAnsi="宋体" w:cs="宋体"/>
                <w:bCs/>
                <w:szCs w:val="21"/>
              </w:rPr>
              <w:t xml:space="preserve">100</w:t>
            </w:r>
            <w:r/>
          </w:p>
        </w:tc>
        <w:tc>
          <w:tcPr>
            <w:tcW w:w="474" w:type="pct"/>
            <w:vAlign w:val="center"/>
            <w:textDirection w:val="lrTb"/>
            <w:noWrap w:val="false"/>
          </w:tcPr>
          <w:p>
            <w:pPr>
              <w:contextualSpacing/>
              <w:jc w:val="center"/>
              <w:spacing w:line="360" w:lineRule="auto"/>
              <w:rPr>
                <w:rFonts w:hint="eastAsia" w:ascii="宋体" w:hAnsi="宋体" w:cs="宋体"/>
                <w:bCs/>
                <w:szCs w:val="21"/>
              </w:rPr>
            </w:pPr>
            <w:r>
              <w:rPr>
                <w:rFonts w:hint="eastAsia" w:ascii="宋体" w:hAnsi="宋体" w:cs="宋体"/>
                <w:bCs/>
                <w:szCs w:val="21"/>
              </w:rPr>
            </w:r>
            <w:r/>
          </w:p>
        </w:tc>
      </w:tr>
    </w:tbl>
    <w:p>
      <w:pPr>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890"/>
        <w:numPr>
          <w:ilvl w:val="0"/>
          <w:numId w:val="0"/>
        </w:numPr>
        <w:ind w:left="567"/>
        <w:rPr>
          <w:rFonts w:hint="eastAsia" w:asciiTheme="minorEastAsia" w:hAnsiTheme="minorEastAsia" w:eastAsiaTheme="minorEastAsia"/>
        </w:rPr>
      </w:pPr>
      <w:r/>
      <w:bookmarkStart w:id="90" w:name="_Toc22972"/>
      <w:r>
        <w:rPr>
          <w:rFonts w:hint="eastAsia" w:asciiTheme="minorEastAsia" w:hAnsiTheme="minorEastAsia" w:eastAsiaTheme="minorEastAsia"/>
        </w:rPr>
        <w:t xml:space="preserve">第四章 </w:t>
      </w:r>
      <w:bookmarkEnd w:id="89"/>
      <w:r/>
      <w:bookmarkStart w:id="91" w:name="_Toc481057147"/>
      <w:r/>
      <w:bookmarkStart w:id="92" w:name="_Toc8808"/>
      <w:r>
        <w:rPr>
          <w:rFonts w:hint="eastAsia" w:asciiTheme="minorEastAsia" w:hAnsiTheme="minorEastAsia" w:eastAsiaTheme="minorEastAsia"/>
        </w:rPr>
        <w:t xml:space="preserve">采购项目的内容和相关技术要求等</w:t>
      </w:r>
      <w:bookmarkEnd w:id="90"/>
      <w:r/>
      <w:r/>
    </w:p>
    <w:p>
      <w:pPr>
        <w:ind w:firstLine="422"/>
        <w:spacing w:line="360" w:lineRule="auto"/>
        <w:rPr>
          <w:rFonts w:hint="eastAsia" w:ascii="宋体" w:hAnsi="宋体" w:cs="宋体"/>
          <w:b/>
          <w:szCs w:val="21"/>
        </w:rPr>
      </w:pPr>
      <w:r/>
      <w:bookmarkStart w:id="93" w:name="_Hlk66377641"/>
      <w:r>
        <w:rPr>
          <w:rFonts w:hint="eastAsia" w:ascii="宋体" w:hAnsi="宋体" w:cs="宋体"/>
          <w:b/>
          <w:szCs w:val="21"/>
        </w:rPr>
        <w:t xml:space="preserve">一、项目名称</w:t>
      </w:r>
      <w:bookmarkEnd w:id="93"/>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玄武区2050城市发展战略研究</w:t>
      </w:r>
      <w:r/>
    </w:p>
    <w:p>
      <w:pPr>
        <w:ind w:firstLine="422"/>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二、玄武区情简介</w:t>
      </w:r>
      <w:r/>
    </w:p>
    <w:p>
      <w:pPr>
        <w:ind w:firstLine="420"/>
        <w:jc w:val="left"/>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玄武区是南京的中心城区，总面积75平方公里，常住人口53.7万人，下辖7个街道、60个社区。主要有四个方面特点：一是山水城林交融。以山为骨、以水为脉、山水相依的风貌形象鲜明，紫金山、玄武湖占全区面积近一半，明</w:t>
      </w:r>
      <w:r>
        <w:rPr>
          <w:rFonts w:hint="eastAsia" w:ascii="宋体" w:hAnsi="宋体" w:cs="宋体"/>
          <w:bCs/>
          <w:szCs w:val="21"/>
          <w:lang w:val="en-US" w:eastAsia="zh-CN"/>
        </w:rPr>
        <w:t xml:space="preserve">城墙绵延8.8公里，占全市总长度的近30%，绿化覆盖率达63.5%，保持全市第一。二是科教资源充沛。区内有东南大学、南京理工大学等一流高等院校，集聚了中科院南京分院等19家科研院所和6家全国重点实验室。三是文化传承悠久。南京“六朝古都、十朝都会”，有九个朝代的宫阙都位于玄武，区内有明孝陵、中山陵等历史文化遗存以及南京图书馆、江苏省美术馆等现代文化设施，19处国家级文保单位数量全市第一。四是区位条件优越。作为南京市委、市政府所在地，驻区部队、省部属单位较多，是省市重要会议、重大活动举办地和重要外事接待的住地。</w:t>
      </w:r>
      <w:r/>
    </w:p>
    <w:p>
      <w:pPr>
        <w:ind w:firstLine="420"/>
        <w:jc w:val="left"/>
        <w:spacing w:line="360" w:lineRule="auto"/>
        <w:rPr>
          <w:rFonts w:hint="eastAsia" w:eastAsia="宋体"/>
          <w:lang w:val="en-US" w:eastAsia="zh-CN"/>
        </w:rPr>
      </w:pPr>
      <w:r>
        <w:rPr>
          <w:rFonts w:hint="eastAsia" w:ascii="宋体" w:hAnsi="宋体" w:cs="宋体"/>
          <w:bCs/>
          <w:szCs w:val="21"/>
          <w:lang w:val="en-US" w:eastAsia="zh-CN"/>
        </w:rPr>
        <w:t xml:space="preserve">近年来，玄武区坚持以习近平新时代中国特色社会主义思想为指导，深入贯彻习近平总书记对江苏工作重要讲话精神</w:t>
      </w:r>
      <w:r>
        <w:rPr>
          <w:rFonts w:hint="eastAsia" w:ascii="宋体" w:hAnsi="宋体" w:cs="宋体"/>
          <w:bCs/>
          <w:szCs w:val="21"/>
          <w:lang w:val="en-US" w:eastAsia="zh-CN"/>
        </w:rPr>
        <w:t xml:space="preserve">，坚决扛好挑大梁责任，围绕建设“最具竞争力的创新高地、最具影响力的消费中心、最具吸引力的美丽城区、最具凝聚力的幸福家园”奋斗目标，坚持一年一个主题、一步一个脚印，持续深化产业强区建设，加快打造东部现代服务业中心核心区，坚定不移走彰显玄武特色的转型发展之路，各项事业取得长足进步。全区入选全国创新百强区、全国幸福百强区、全国社会治理百强区和中国最美县域，获得国家夜间文旅消费集聚区、国家文旅产业融合发展示范区、全国义务教育优质均衡发展区、全国未成年人保护示范区等荣誉，消费、文旅、外贸等工作获得省政府督查激励表彰。</w:t>
      </w:r>
      <w:r/>
    </w:p>
    <w:p>
      <w:pPr>
        <w:ind w:firstLine="422"/>
        <w:spacing w:line="360" w:lineRule="auto"/>
        <w:rPr>
          <w:rFonts w:hint="eastAsia" w:ascii="宋体" w:hAnsi="宋体" w:cs="宋体"/>
          <w:bCs/>
          <w:szCs w:val="21"/>
        </w:rPr>
      </w:pPr>
      <w:r>
        <w:rPr>
          <w:rFonts w:hint="eastAsia" w:ascii="宋体" w:hAnsi="宋体" w:cs="宋体"/>
          <w:b/>
          <w:szCs w:val="21"/>
          <w:lang w:val="en-US" w:eastAsia="zh-CN"/>
        </w:rPr>
        <w:t xml:space="preserve">三</w:t>
      </w:r>
      <w:r>
        <w:rPr>
          <w:rFonts w:hint="eastAsia" w:ascii="宋体" w:hAnsi="宋体" w:cs="宋体"/>
          <w:b/>
          <w:szCs w:val="21"/>
        </w:rPr>
        <w:t xml:space="preserve">、技术要求</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（一）研究内容</w:t>
      </w:r>
      <w:r/>
    </w:p>
    <w:p>
      <w:pPr>
        <w:ind w:firstLine="420"/>
        <w:jc w:val="left"/>
        <w:spacing w:line="360" w:lineRule="auto"/>
        <w:rPr>
          <w:rFonts w:ascii="宋体" w:hAnsi="宋体" w:cs="宋体"/>
          <w:bCs/>
          <w:szCs w:val="21"/>
          <w:highlight w:val="none"/>
        </w:rPr>
      </w:pPr>
      <w:r>
        <w:rPr>
          <w:rFonts w:hint="eastAsia" w:ascii="宋体" w:hAnsi="宋体" w:cs="宋体"/>
          <w:bCs/>
          <w:szCs w:val="21"/>
        </w:rPr>
        <w:t xml:space="preserve">依据玄武当前发展情况，开展中长期战略研究，提出玄武长远发展战略与行动举措。主要内容</w:t>
      </w:r>
      <w:r>
        <w:rPr>
          <w:rFonts w:hint="eastAsia" w:ascii="宋体" w:hAnsi="宋体" w:cs="宋体"/>
          <w:bCs/>
          <w:szCs w:val="21"/>
          <w:highlight w:val="none"/>
        </w:rPr>
        <w:t xml:space="preserve">包括：</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1.开展战略调研。开展对各部门、板块以及重点企业、重点高校、重点人群等的调研走访，深化对现状基础的了解和认识，形成调研报告。</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2.开展战略研究。包括且不限于对趋势研判、现状诊断、目标定位、战略举措、空间布局、近期行动等内容的研究，形成综合报告，初步</w:t>
      </w:r>
      <w:r>
        <w:rPr>
          <w:rFonts w:hint="eastAsia" w:ascii="宋体" w:hAnsi="宋体" w:cs="宋体"/>
          <w:szCs w:val="21"/>
          <w:highlight w:val="none"/>
          <w:lang w:val="en-US" w:eastAsia="zh-CN"/>
        </w:rPr>
        <w:t xml:space="preserve">要求</w:t>
      </w:r>
      <w:r>
        <w:rPr>
          <w:rFonts w:hint="eastAsia" w:ascii="宋体" w:hAnsi="宋体" w:cs="宋体"/>
          <w:szCs w:val="21"/>
          <w:highlight w:val="none"/>
        </w:rPr>
        <w:t xml:space="preserve">如下（需覆盖全部领域，具体内容可根据研究结论优化）：</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（1）趋势研判和综合诊断</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准确理解战略研究的目标意义，立足长远把握经济、人口趋势，研判未来玄武区的发展方位。深度认知玄武区的发展脉络与现状基础，精准识别“人、地、房、企”画像，细化分析数据颗粒度，深度理解人群和企业的选择与偏好，识别玄武发展的优势与挑战。</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（2）国际对标与目标定位</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秉持国际视野，精准对标国际、国内案例，确立长久坚持的目标愿景与路径方向。准确定位玄武区的发展坐标，研究确立面向2050年的总体愿景，提炼发展定位与新功能，提出战略路径与时序安排。</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（3）发展战略与行动举措</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从活力提升、人口发展、文化魅力、创新产业、治理能力等多个维度提出发展战略，制定行动举措。</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活力提升</w:t>
      </w:r>
      <w:bookmarkStart w:id="94" w:name="OLE_LINK2"/>
      <w:r>
        <w:rPr>
          <w:rFonts w:hint="eastAsia" w:ascii="宋体" w:hAnsi="宋体" w:cs="宋体"/>
          <w:bCs/>
          <w:szCs w:val="21"/>
        </w:rPr>
        <w:t xml:space="preserve">方面</w:t>
      </w:r>
      <w:bookmarkEnd w:id="94"/>
      <w:r>
        <w:rPr>
          <w:rFonts w:hint="eastAsia" w:ascii="宋体" w:hAnsi="宋体" w:cs="宋体"/>
          <w:bCs/>
          <w:szCs w:val="21"/>
        </w:rPr>
        <w:t xml:space="preserve">，把握城市更新重点，在全市率先打造“活力中心区”先行示范区。选取区内最具人气、交通便利、有历史基础和未来潜力的区域，探索土地利用、经营许可、税收减免等政策创新，创新沉浸式、体验式、多元场景的融合消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人口发展方面，强化人才吸引，营建青年向往的“有趣”城区。玄武区内高等院校和研究院所较多，未来应进一步做好人才和青年的留育和吸引，在做好青年安居与就业促进的基础上，营造更多元、更好玩的城市空间，成为青年向往的理想城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文化魅力方面，引领六朝古都焕发新活力，在全面认识、整体保护的基础上进一步做好活化利用。将历史人文特色和山水城林特色融入现代生活，成为南京“世界博物馆之城”“世界文学之都”“国际旅游目的地”城市品牌的核心承载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创新产业方面，围绕“数模碳跨”新兴方向，强化创新引领，促进科技创新和产业创新融合发展，激活环湖、环山各类资源。</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rPr>
        <w:t xml:space="preserve">治理能力方面，建设精品城区，创新理念、模式、手段破解基层治理难题，构建有标识度和美</w:t>
      </w:r>
      <w:r>
        <w:rPr>
          <w:rFonts w:hint="eastAsia" w:ascii="宋体" w:hAnsi="宋体" w:cs="宋体"/>
          <w:bCs/>
          <w:szCs w:val="21"/>
          <w:highlight w:val="none"/>
        </w:rPr>
        <w:t xml:space="preserve">誉度的“玄武社区”。</w:t>
      </w:r>
      <w:bookmarkStart w:id="95" w:name="OLE_LINK34"/>
      <w:r/>
      <w:bookmarkStart w:id="96" w:name="OLE_LINK35"/>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（4）空间方针与功能布局</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明晰功能承载的核心板块。明确玄武区功能分区、主导功能和牵头主体，强化空间板块对核心功能的耦合支撑。优化资源配置，使各功能区特色更加鲜明，共同支撑实现全区综合功能与竞争力提升。</w:t>
      </w:r>
      <w:bookmarkEnd w:id="95"/>
      <w:r/>
      <w:bookmarkEnd w:id="9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w:t>
      </w:r>
      <w:r>
        <w:rPr>
          <w:rFonts w:hint="eastAsia" w:ascii="宋体" w:hAnsi="宋体" w:cs="宋体"/>
          <w:szCs w:val="21"/>
          <w:highlight w:val="none"/>
        </w:rPr>
        <w:t xml:space="preserve">近期实施与项目抓手</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衔接“十五五”规划编制，将长远战略意图分解落实到近期。识别一批更新街区，包括十朝都会文博区、环山滨湖板块、南京站前片区、文学之路等关键节点；明确一批重点项目，细化未来五年的重点举措和重大项目；争取系列重大政策，支撑未来发展。</w:t>
      </w:r>
      <w:r/>
    </w:p>
    <w:p>
      <w:pPr>
        <w:ind w:firstLine="420"/>
        <w:jc w:val="left"/>
        <w:spacing w:line="360" w:lineRule="auto"/>
        <w:rPr>
          <w:rFonts w:ascii="宋体" w:hAnsi="宋体" w:cs="宋体"/>
          <w:szCs w:val="21"/>
          <w:highlight w:val="none"/>
        </w:rPr>
      </w:pPr>
      <w:r>
        <w:rPr>
          <w:rFonts w:ascii="宋体" w:hAnsi="宋体" w:cs="宋体"/>
          <w:szCs w:val="21"/>
          <w:highlight w:val="none"/>
        </w:rPr>
        <w:t xml:space="preserve">3.开展重点专题研究。聚焦区委</w:t>
      </w:r>
      <w:r>
        <w:rPr>
          <w:rFonts w:hint="eastAsia" w:ascii="宋体" w:hAnsi="宋体" w:cs="宋体"/>
          <w:szCs w:val="21"/>
          <w:highlight w:val="none"/>
          <w:lang w:eastAsia="zh-CN"/>
        </w:rPr>
        <w:t xml:space="preserve">、</w:t>
      </w:r>
      <w:r>
        <w:rPr>
          <w:rFonts w:ascii="宋体" w:hAnsi="宋体" w:cs="宋体"/>
          <w:szCs w:val="21"/>
          <w:highlight w:val="none"/>
        </w:rPr>
        <w:t xml:space="preserve">区政府关心的重点专题，开展对应的专题研究，形成研究内参和政策建议文件。</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提供相关技术支撑。确保全过程及时响应，</w:t>
      </w:r>
      <w:r>
        <w:rPr>
          <w:rFonts w:ascii="宋体" w:hAnsi="宋体" w:cs="宋体"/>
          <w:szCs w:val="21"/>
          <w:highlight w:val="none"/>
        </w:rPr>
        <w:t xml:space="preserve">协助采购人开展</w:t>
      </w:r>
      <w:r>
        <w:rPr>
          <w:rFonts w:hint="eastAsia" w:ascii="宋体" w:hAnsi="宋体" w:cs="宋体"/>
          <w:szCs w:val="21"/>
          <w:highlight w:val="none"/>
        </w:rPr>
        <w:t xml:space="preserve">公众宣传、政策制定等后续工作</w:t>
      </w:r>
      <w:r>
        <w:rPr>
          <w:rFonts w:ascii="宋体" w:hAnsi="宋体" w:cs="宋体"/>
          <w:szCs w:val="21"/>
          <w:highlight w:val="none"/>
        </w:rPr>
        <w:t xml:space="preserve">。</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（二）研究成果</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通过本项目研究，形成以下研究成果：</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1份总报告：战略编制的综合报告，包括发展研判、目标愿景、关键策略、行动计划、实施保障等内容，要求图文并茂，总字数不少于5万字。</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1份调研报告：梳理汇总调研访谈记录，提炼归纳核心结论，作为对总报告的研究支撑。</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1系列政务专报：聚焦区委区政府关心的重点专题，结合研究进展，以“答卷”形式提炼形成研究内参和政策建议文件。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1份公众手册：简明通俗、形象生动的公众版本，用于成果宣贯。</w:t>
      </w:r>
      <w:r/>
    </w:p>
    <w:p>
      <w:pPr>
        <w:ind w:firstLine="422"/>
        <w:jc w:val="left"/>
        <w:spacing w:line="360" w:lineRule="auto"/>
        <w:rPr>
          <w:rFonts w:hint="eastAsia" w:ascii="宋体" w:hAnsi="宋体" w:cs="宋体"/>
          <w:b/>
          <w:bCs w:val="0"/>
          <w:szCs w:val="21"/>
          <w:highlight w:val="none"/>
        </w:rPr>
      </w:pPr>
      <w:r>
        <w:rPr>
          <w:rFonts w:hint="eastAsia" w:ascii="宋体" w:hAnsi="宋体" w:cs="宋体"/>
          <w:b/>
          <w:bCs w:val="0"/>
          <w:szCs w:val="21"/>
          <w:highlight w:val="none"/>
        </w:rPr>
        <w:t xml:space="preserve">（三）人员要求</w:t>
      </w:r>
      <w:r/>
    </w:p>
    <w:p>
      <w:pPr>
        <w:ind w:firstLine="420"/>
        <w:jc w:val="left"/>
        <w:spacing w:line="360" w:lineRule="auto"/>
        <w:rPr>
          <w:rFonts w:hint="eastAsia" w:ascii="宋体" w:hAnsi="宋体" w:cs="宋体"/>
          <w:b w:val="0"/>
          <w:bCs/>
          <w:szCs w:val="21"/>
          <w:highlight w:val="none"/>
        </w:rPr>
      </w:pPr>
      <w:r>
        <w:rPr>
          <w:rFonts w:hint="eastAsia" w:ascii="宋体" w:hAnsi="宋体" w:cs="宋体"/>
          <w:bCs/>
          <w:szCs w:val="21"/>
          <w:highlight w:val="none"/>
        </w:rPr>
        <w:t xml:space="preserve">项目组团队</w:t>
      </w:r>
      <w:r>
        <w:rPr>
          <w:rFonts w:hint="eastAsia" w:ascii="宋体" w:hAnsi="宋体" w:cs="宋体"/>
          <w:b w:val="0"/>
          <w:bCs/>
          <w:szCs w:val="21"/>
          <w:highlight w:val="none"/>
        </w:rPr>
        <w:t xml:space="preserve">人员：</w:t>
      </w:r>
      <w:r>
        <w:rPr>
          <w:rFonts w:hint="eastAsia" w:ascii="宋体" w:hAnsi="宋体" w:cs="宋体"/>
          <w:bCs/>
          <w:szCs w:val="21"/>
          <w:highlight w:val="none"/>
        </w:rPr>
        <w:t xml:space="preserve">总</w:t>
      </w:r>
      <w:r>
        <w:rPr>
          <w:rFonts w:hint="eastAsia" w:ascii="宋体" w:hAnsi="宋体" w:cs="宋体"/>
          <w:b w:val="0"/>
          <w:bCs/>
          <w:szCs w:val="21"/>
          <w:highlight w:val="none"/>
        </w:rPr>
        <w:t xml:space="preserve">负责人1名；</w:t>
      </w:r>
      <w:r>
        <w:rPr>
          <w:rFonts w:hint="eastAsia" w:ascii="宋体" w:hAnsi="宋体" w:cs="宋体"/>
          <w:b w:val="0"/>
          <w:bCs/>
          <w:szCs w:val="21"/>
          <w:highlight w:val="none"/>
          <w:lang w:val="en-US" w:eastAsia="zh-CN"/>
        </w:rPr>
        <w:t xml:space="preserve">整体项目</w:t>
      </w:r>
      <w:r>
        <w:rPr>
          <w:rFonts w:hint="eastAsia" w:ascii="宋体" w:hAnsi="宋体" w:cs="宋体"/>
          <w:bCs/>
          <w:szCs w:val="21"/>
          <w:highlight w:val="none"/>
        </w:rPr>
        <w:t xml:space="preserve">团队人员</w:t>
      </w:r>
      <w:r>
        <w:rPr>
          <w:rFonts w:hint="eastAsia" w:ascii="宋体" w:hAnsi="宋体" w:cs="宋体"/>
          <w:b w:val="0"/>
          <w:bCs/>
          <w:szCs w:val="21"/>
          <w:highlight w:val="none"/>
        </w:rPr>
        <w:t xml:space="preserve">应配备不少于</w:t>
      </w:r>
      <w:r>
        <w:rPr>
          <w:rFonts w:hint="eastAsia" w:ascii="宋体" w:hAnsi="宋体" w:cs="宋体"/>
          <w:bCs/>
          <w:szCs w:val="21"/>
          <w:highlight w:val="none"/>
        </w:rPr>
        <w:t xml:space="preserve">5</w:t>
      </w:r>
      <w:r>
        <w:rPr>
          <w:rFonts w:hint="eastAsia" w:ascii="宋体" w:hAnsi="宋体" w:cs="宋体"/>
          <w:b w:val="0"/>
          <w:bCs/>
          <w:szCs w:val="21"/>
          <w:highlight w:val="none"/>
        </w:rPr>
        <w:t xml:space="preserve">人。</w:t>
      </w:r>
      <w:r/>
    </w:p>
    <w:p>
      <w:pPr>
        <w:ind w:firstLine="420"/>
        <w:jc w:val="left"/>
        <w:spacing w:line="360" w:lineRule="auto"/>
        <w:rPr>
          <w:rFonts w:hint="eastAsia" w:ascii="宋体" w:hAnsi="宋体" w:cs="宋体"/>
          <w:b w:val="0"/>
          <w:bCs/>
          <w:szCs w:val="21"/>
        </w:rPr>
      </w:pPr>
      <w:r>
        <w:rPr>
          <w:rFonts w:hint="eastAsia" w:ascii="宋体" w:hAnsi="宋体" w:cs="宋体"/>
          <w:b w:val="0"/>
          <w:bCs/>
          <w:szCs w:val="21"/>
          <w:highlight w:val="none"/>
        </w:rPr>
        <w:t xml:space="preserve">配备人员要求：</w:t>
      </w:r>
      <w:r>
        <w:rPr>
          <w:rFonts w:hint="eastAsia" w:ascii="宋体" w:hAnsi="宋体" w:cs="宋体"/>
          <w:bCs/>
          <w:szCs w:val="21"/>
          <w:highlight w:val="none"/>
        </w:rPr>
        <w:t xml:space="preserve">团队人员需</w:t>
      </w:r>
      <w:r>
        <w:rPr>
          <w:rFonts w:hint="eastAsia" w:ascii="宋体" w:hAnsi="宋体" w:cs="宋体"/>
          <w:b w:val="0"/>
          <w:bCs/>
          <w:szCs w:val="21"/>
          <w:highlight w:val="none"/>
        </w:rPr>
        <w:t xml:space="preserve">具有实施</w:t>
      </w:r>
      <w:r>
        <w:rPr>
          <w:rFonts w:hint="eastAsia" w:ascii="宋体" w:hAnsi="宋体" w:cs="宋体"/>
          <w:bCs/>
          <w:szCs w:val="21"/>
          <w:highlight w:val="none"/>
        </w:rPr>
        <w:t xml:space="preserve">相关城市发展战略研究经验</w:t>
      </w:r>
      <w:r>
        <w:rPr>
          <w:rFonts w:hint="eastAsia" w:ascii="宋体" w:hAnsi="宋体" w:cs="宋体"/>
          <w:b w:val="0"/>
          <w:bCs/>
          <w:szCs w:val="21"/>
          <w:highlight w:val="none"/>
        </w:rPr>
        <w:t xml:space="preserve">和能力；投标文件中需列</w:t>
      </w:r>
      <w:r>
        <w:rPr>
          <w:rFonts w:hint="eastAsia" w:ascii="宋体" w:hAnsi="宋体" w:cs="宋体"/>
          <w:b w:val="0"/>
          <w:bCs/>
          <w:szCs w:val="21"/>
        </w:rPr>
        <w:t xml:space="preserve">明各项专职人员，以及项目实施过程中</w:t>
      </w:r>
      <w:r>
        <w:rPr>
          <w:rFonts w:hint="eastAsia" w:ascii="宋体" w:hAnsi="宋体" w:cs="宋体"/>
          <w:b w:val="0"/>
          <w:bCs/>
          <w:szCs w:val="21"/>
          <w:lang w:eastAsia="zh-CN"/>
        </w:rPr>
        <w:t xml:space="preserve">的</w:t>
      </w:r>
      <w:r>
        <w:rPr>
          <w:rFonts w:hint="eastAsia" w:ascii="宋体" w:hAnsi="宋体" w:cs="宋体"/>
          <w:b w:val="0"/>
          <w:bCs/>
          <w:szCs w:val="21"/>
        </w:rPr>
        <w:t xml:space="preserve">具体岗位、具体负责事宜。</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开展</w:t>
      </w:r>
      <w:r>
        <w:rPr>
          <w:rFonts w:hint="eastAsia" w:ascii="宋体" w:hAnsi="宋体" w:cs="宋体"/>
          <w:bCs/>
          <w:szCs w:val="21"/>
        </w:rPr>
        <w:t xml:space="preserve">本项目</w:t>
      </w:r>
      <w:r>
        <w:rPr>
          <w:rFonts w:hint="eastAsia" w:ascii="宋体" w:hAnsi="宋体" w:cs="宋体"/>
          <w:b w:val="0"/>
          <w:bCs/>
          <w:szCs w:val="21"/>
        </w:rPr>
        <w:t xml:space="preserve">过程中，配备人员具体行为必须符合相关法律法规、政策及项目文件要求规定；各项工作计划需提前书面报备采购</w:t>
      </w:r>
      <w:r>
        <w:rPr>
          <w:rFonts w:hint="eastAsia" w:ascii="宋体" w:hAnsi="宋体" w:cs="宋体"/>
          <w:bCs/>
          <w:szCs w:val="21"/>
        </w:rPr>
        <w:t xml:space="preserve">人</w:t>
      </w:r>
      <w:r>
        <w:rPr>
          <w:rFonts w:hint="eastAsia" w:ascii="宋体" w:hAnsi="宋体" w:cs="宋体"/>
          <w:b w:val="0"/>
          <w:bCs/>
          <w:szCs w:val="21"/>
        </w:rPr>
        <w:t xml:space="preserve">确认，经采购</w:t>
      </w:r>
      <w:r>
        <w:rPr>
          <w:rFonts w:hint="eastAsia" w:ascii="宋体" w:hAnsi="宋体" w:cs="宋体"/>
          <w:bCs/>
          <w:szCs w:val="21"/>
        </w:rPr>
        <w:t xml:space="preserve">人</w:t>
      </w:r>
      <w:r>
        <w:rPr>
          <w:rFonts w:hint="eastAsia" w:ascii="宋体" w:hAnsi="宋体" w:cs="宋体"/>
          <w:b w:val="0"/>
          <w:bCs/>
          <w:szCs w:val="21"/>
        </w:rPr>
        <w:t xml:space="preserve">后方可组织实施。</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所配备的成员一经确认，未经采购</w:t>
      </w:r>
      <w:r>
        <w:rPr>
          <w:rFonts w:hint="eastAsia" w:ascii="宋体" w:hAnsi="宋体" w:cs="宋体"/>
          <w:bCs/>
          <w:szCs w:val="21"/>
        </w:rPr>
        <w:t xml:space="preserve">人</w:t>
      </w:r>
      <w:r>
        <w:rPr>
          <w:rFonts w:hint="eastAsia" w:ascii="宋体" w:hAnsi="宋体" w:cs="宋体"/>
          <w:b w:val="0"/>
          <w:bCs/>
          <w:szCs w:val="21"/>
        </w:rPr>
        <w:t xml:space="preserve">书面同意，不得更换。</w:t>
      </w:r>
      <w:r/>
    </w:p>
    <w:p>
      <w:pPr>
        <w:ind w:firstLine="422"/>
        <w:jc w:val="left"/>
        <w:spacing w:line="360" w:lineRule="auto"/>
        <w:rPr>
          <w:rFonts w:hint="eastAsia" w:ascii="宋体" w:hAnsi="宋体" w:cs="宋体"/>
          <w:b/>
          <w:szCs w:val="21"/>
        </w:rPr>
      </w:pPr>
      <w:r>
        <w:rPr>
          <w:rFonts w:hint="eastAsia" w:ascii="宋体" w:hAnsi="宋体" w:cs="宋体"/>
          <w:b/>
          <w:szCs w:val="21"/>
          <w:lang w:val="en-US" w:eastAsia="zh-CN"/>
        </w:rPr>
        <w:t xml:space="preserve">四</w:t>
      </w:r>
      <w:r>
        <w:rPr>
          <w:rFonts w:hint="eastAsia" w:ascii="宋体" w:hAnsi="宋体" w:cs="宋体"/>
          <w:b/>
          <w:szCs w:val="21"/>
        </w:rPr>
        <w:t xml:space="preserve">、商务要求</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（一）完成时间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合同签订后立即启动项目研究工作，2025年12月底前形成初步成果并向采购人汇报。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2026年4月底前完成深化成果，通过采购人组织的专家评审。</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2026年6月底前完成最终成果，按要求提交全部正式报告。由采购人组织对最终成果进行评审验收，验收合格后正式办理结题手续。采购人下一步相关文件制订过程中，中标人有义务参与并协商承担相应工作。</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课题研究成果的知识产权归采购人所有。</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（二）付款方式</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采购人按下列程序付款。每次付款在十个工作日内完成。</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1.合同签订后支付合同总额的30%；</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2.课题研究深化成果通过采购人组织的专家评审后，采购人向中标人支付合同总额的30%；</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3.课题研究最终成果提交至采购人并经验收合格后,采购人向中标人付清合同总额的40%余款。</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（三）报价要求</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1.投标人应承担所有与准备和参加投标有关的费用，无论采购结果如何，采购代理机构和采购人在任何情况下均无义务和责任承担这些费用。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2.投标人应详细填报分项报价表，完整披露拟定方案各环节费用明细；报价须符合实际情况，虚假报价将承担相应责任。</w:t>
      </w:r>
      <w:r/>
    </w:p>
    <w:p>
      <w:pPr>
        <w:pStyle w:val="890"/>
        <w:numPr>
          <w:ilvl w:val="0"/>
          <w:numId w:val="0"/>
        </w:numPr>
        <w:ind w:left="567"/>
        <w:rPr>
          <w:rFonts w:hint="eastAsia" w:asciiTheme="minorEastAsia" w:hAnsiTheme="minorEastAsia" w:eastAsiaTheme="minorEastAsia"/>
        </w:rPr>
      </w:pPr>
      <w:r/>
      <w:bookmarkStart w:id="97" w:name="_Toc6554"/>
      <w:r>
        <w:rPr>
          <w:rFonts w:hint="eastAsia" w:asciiTheme="minorEastAsia" w:hAnsiTheme="minorEastAsia" w:eastAsiaTheme="minorEastAsia"/>
        </w:rPr>
        <w:t xml:space="preserve">第五章 合同主要条款及格式</w:t>
      </w:r>
      <w:bookmarkEnd w:id="91"/>
      <w:r/>
      <w:bookmarkEnd w:id="92"/>
      <w:r/>
      <w:bookmarkEnd w:id="97"/>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98"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99"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2.甲方自行组织或视情邀请相关专家或国家认可的质量检测机构参加验收，乙方提供的服务不符合招标文件和合同规定的，甲方有权拒收，由此产生的损失由乙方承担。</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lang w:val="en-US" w:eastAsia="zh-CN"/>
        </w:rPr>
        <w:t xml:space="preserve">1</w:t>
      </w: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rPr>
        <w:t xml:space="preserve">合同签订后支付合同总额的30%；</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lang w:val="en-US" w:eastAsia="zh-CN"/>
        </w:rPr>
        <w:t xml:space="preserve">2</w:t>
      </w: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rPr>
        <w:t xml:space="preserve">课题研究深化成果通过</w:t>
      </w:r>
      <w:r>
        <w:rPr>
          <w:rFonts w:hint="eastAsia" w:cs="宋体" w:asciiTheme="minorEastAsia" w:hAnsiTheme="minorEastAsia" w:eastAsiaTheme="minorEastAsia"/>
          <w:szCs w:val="21"/>
          <w:lang w:val="en-US" w:eastAsia="zh-CN"/>
        </w:rPr>
        <w:t xml:space="preserve">甲方</w:t>
      </w:r>
      <w:r>
        <w:rPr>
          <w:rFonts w:hint="eastAsia" w:cs="宋体" w:asciiTheme="minorEastAsia" w:hAnsiTheme="minorEastAsia" w:eastAsiaTheme="minorEastAsia"/>
          <w:szCs w:val="21"/>
        </w:rPr>
        <w:t xml:space="preserve">组织的专家评审后，甲方向乙方支付合同总额的30%；</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lang w:val="en-US" w:eastAsia="zh-CN"/>
        </w:rPr>
        <w:t xml:space="preserve">3</w:t>
      </w:r>
      <w:r>
        <w:rPr>
          <w:rFonts w:hint="eastAsia" w:cs="宋体" w:asciiTheme="minorEastAsia" w:hAnsiTheme="minorEastAsia" w:eastAsiaTheme="minorEastAsia"/>
          <w:szCs w:val="21"/>
          <w:lang w:eastAsia="zh-CN"/>
        </w:rPr>
        <w:t xml:space="preserve">）</w:t>
      </w:r>
      <w:r>
        <w:rPr>
          <w:rFonts w:hint="eastAsia" w:cs="宋体" w:asciiTheme="minorEastAsia" w:hAnsiTheme="minorEastAsia" w:eastAsiaTheme="minorEastAsia"/>
          <w:szCs w:val="21"/>
        </w:rPr>
        <w:t xml:space="preserve">课题研究最终成果提交至甲方并经验收合格后,甲方向乙方付清合同总额的40%余款。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4.乙方逾期交付的，每逾期1天，乙方向甲方偿付相应阶段的5‰的滞纳金。如乙方逾期交付达10天，甲方有权解除合同，解除合同的通知自到达乙方时生效。乙方逾期交付的，今后参加政府采购信誉将受到影响。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乙方在本合同项下承担的违约金和赔偿金总额以已收到的报酬为限。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未经甲方书面同意，乙方不得擅自部分或全部转让其应履行的合同义务。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份，甲乙双方各执</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100"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100"/>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bookmarkEnd w:id="99"/>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90"/>
        <w:numPr>
          <w:ilvl w:val="0"/>
          <w:numId w:val="0"/>
        </w:numPr>
        <w:rPr>
          <w:rFonts w:asciiTheme="minorEastAsia" w:hAnsiTheme="minorEastAsia" w:eastAsiaTheme="minorEastAsia"/>
          <w:highlight w:val="none"/>
        </w:rPr>
      </w:pPr>
      <w:r/>
      <w:bookmarkStart w:id="101" w:name="_Toc4802"/>
      <w:r>
        <w:rPr>
          <w:rFonts w:hint="eastAsia" w:asciiTheme="minorEastAsia" w:hAnsiTheme="minorEastAsia" w:eastAsiaTheme="minorEastAsia"/>
        </w:rPr>
        <w:t xml:space="preserve">第六章 投标文件格式</w:t>
      </w:r>
      <w:bookmarkEnd w:id="98"/>
      <w:r/>
      <w:bookmarkEnd w:id="101"/>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91"/>
        <w:numPr>
          <w:ilvl w:val="1"/>
          <w:numId w:val="0"/>
        </w:numPr>
        <w:rPr>
          <w:rFonts w:asciiTheme="minorEastAsia" w:hAnsiTheme="minorEastAsia" w:eastAsiaTheme="minorEastAsia"/>
          <w:highlight w:val="none"/>
        </w:rPr>
      </w:pPr>
      <w:r/>
      <w:bookmarkStart w:id="102" w:name="_Toc66375424"/>
      <w:r/>
      <w:bookmarkStart w:id="103" w:name="_Toc43917771"/>
      <w:r>
        <w:rPr>
          <w:rFonts w:hint="eastAsia" w:asciiTheme="minorEastAsia" w:hAnsiTheme="minorEastAsia" w:eastAsiaTheme="minorEastAsia"/>
        </w:rPr>
        <w:t xml:space="preserve">附件一、投标函</w:t>
      </w:r>
      <w:bookmarkEnd w:id="102"/>
      <w:r/>
      <w:bookmarkEnd w:id="103"/>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致：南京市玄武区发展和改革委员会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Theme="minorEastAsia" w:hAnsiTheme="minorEastAsia" w:eastAsiaTheme="minorEastAsia"/>
          <w:szCs w:val="21"/>
        </w:rPr>
      </w:pPr>
      <w:r/>
      <w:bookmarkStart w:id="104" w:name="_Hlk44577678"/>
      <w:r>
        <w:rPr>
          <w:rFonts w:hint="eastAsia" w:asciiTheme="minorEastAsia" w:hAnsiTheme="minorEastAsia" w:eastAsiaTheme="minorEastAsia"/>
          <w:szCs w:val="21"/>
        </w:rPr>
        <w:t xml:space="preserve">2.本项目交付时间为：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104"/>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05" w:name="_Hlk176254267"/>
      <w:r>
        <w:rPr>
          <w:rFonts w:hint="eastAsia" w:asciiTheme="minorEastAsia" w:hAnsiTheme="minorEastAsia" w:eastAsiaTheme="minorEastAsia"/>
          <w:szCs w:val="21"/>
        </w:rPr>
        <w:t xml:space="preserve">加盖电子公章</w:t>
      </w:r>
      <w:bookmarkEnd w:id="105"/>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hint="eastAsia" w:asciiTheme="minorEastAsia" w:hAnsiTheme="minorEastAsia" w:eastAsiaTheme="minorEastAsia"/>
        </w:rPr>
      </w:pPr>
      <w:r/>
      <w:bookmarkStart w:id="106" w:name="_Toc43917772"/>
      <w:r/>
      <w:bookmarkStart w:id="107" w:name="_Toc66375425"/>
      <w:r>
        <w:rPr>
          <w:rFonts w:hint="eastAsia" w:asciiTheme="minorEastAsia" w:hAnsiTheme="minorEastAsia" w:eastAsiaTheme="minorEastAsia"/>
        </w:rPr>
        <w:t xml:space="preserve">附件二、法定代表人授权委托书</w:t>
      </w:r>
      <w:bookmarkEnd w:id="106"/>
      <w:r/>
      <w:bookmarkEnd w:id="107"/>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致：南京市玄武区发展和改革委员会</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08" w:name="_Hlk176528397"/>
      <w:r>
        <w:rPr>
          <w:rFonts w:hint="eastAsia" w:asciiTheme="minorEastAsia" w:hAnsiTheme="minorEastAsia" w:eastAsiaTheme="minorEastAsia"/>
          <w:szCs w:val="21"/>
        </w:rPr>
        <w:t xml:space="preserve">日加盖电子公章</w:t>
      </w:r>
      <w:bookmarkEnd w:id="108"/>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109" w:name="_Hlk176254280"/>
      <w:r>
        <w:rPr>
          <w:rFonts w:hint="eastAsia" w:asciiTheme="minorEastAsia" w:hAnsiTheme="minorEastAsia" w:eastAsiaTheme="minorEastAsia"/>
          <w:szCs w:val="21"/>
        </w:rPr>
        <w:t xml:space="preserve">投标人（</w:t>
      </w:r>
      <w:bookmarkStart w:id="110" w:name="OLE_LINK3"/>
      <w:r>
        <w:rPr>
          <w:rFonts w:hint="eastAsia" w:asciiTheme="minorEastAsia" w:hAnsiTheme="minorEastAsia" w:eastAsiaTheme="minorEastAsia"/>
          <w:szCs w:val="21"/>
        </w:rPr>
        <w:t xml:space="preserve">加盖电子公章</w:t>
      </w:r>
      <w:bookmarkEnd w:id="110"/>
      <w:r>
        <w:rPr>
          <w:rFonts w:hint="eastAsia" w:asciiTheme="minorEastAsia" w:hAnsiTheme="minorEastAsia" w:eastAsiaTheme="minorEastAsia"/>
          <w:szCs w:val="21"/>
        </w:rPr>
        <w:t xml:space="preserve">）： </w:t>
      </w:r>
      <w:bookmarkEnd w:id="109"/>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11" w:name="_Hlk45291991"/>
      <w:r>
        <w:rPr>
          <w:rFonts w:hint="eastAsia" w:asciiTheme="minorEastAsia" w:hAnsiTheme="minorEastAsia" w:eastAsiaTheme="minorEastAsia"/>
          <w:szCs w:val="21"/>
        </w:rPr>
        <w:t xml:space="preserve">法定代表人身份证的复印件:</w:t>
      </w:r>
      <w:bookmarkEnd w:id="111"/>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91"/>
        <w:rPr>
          <w:rFonts w:hint="eastAsia" w:asciiTheme="minorEastAsia" w:hAnsiTheme="minorEastAsia" w:eastAsiaTheme="minorEastAsia"/>
        </w:rPr>
      </w:pPr>
      <w:r/>
      <w:bookmarkStart w:id="112" w:name="_Toc43917782"/>
      <w:r/>
      <w:bookmarkStart w:id="113" w:name="_Toc66375435"/>
      <w:r>
        <w:rPr>
          <w:rFonts w:hint="eastAsia" w:asciiTheme="minorEastAsia" w:hAnsiTheme="minorEastAsia" w:eastAsiaTheme="minorEastAsia"/>
        </w:rPr>
        <w:t xml:space="preserve">附件三、资格证明文件</w:t>
      </w:r>
      <w:bookmarkEnd w:id="112"/>
      <w:r/>
      <w:bookmarkEnd w:id="113"/>
      <w:r/>
      <w:r/>
    </w:p>
    <w:p>
      <w:pPr>
        <w:ind w:firstLine="420"/>
        <w:spacing w:line="360" w:lineRule="auto"/>
        <w:rPr>
          <w:rFonts w:hint="eastAsia" w:asciiTheme="minorEastAsia" w:hAnsiTheme="minorEastAsia" w:eastAsiaTheme="minorEastAsia"/>
          <w:bCs/>
          <w:szCs w:val="21"/>
        </w:rPr>
      </w:pPr>
      <w:r/>
      <w:bookmarkStart w:id="114"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南京市政府采购投标人信用记录表暨信用承诺书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bookmarkStart w:id="115"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注：上述“4和5”项，投标人可以在投标文件中一次性提交资格证明材料，也可以在投标文件中提供《南京市政府采购投标人信用记录表暨信用承诺书》。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）投标人被列入严重失信主体名单；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15"/>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1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hint="eastAsia" w:asciiTheme="minorEastAsia" w:hAnsiTheme="minorEastAsia" w:eastAsiaTheme="minorEastAsia"/>
          <w:lang w:val="zh-CN"/>
        </w:rPr>
      </w:pPr>
      <w:r/>
      <w:bookmarkStart w:id="116" w:name="_Toc66375426"/>
      <w:r/>
      <w:bookmarkStart w:id="117" w:name="_Toc26810"/>
      <w:r/>
      <w:bookmarkStart w:id="118" w:name="_Toc43917773"/>
      <w:r/>
      <w:bookmarkStart w:id="119" w:name="OLE_LINK38"/>
      <w:r>
        <w:rPr>
          <w:rFonts w:hint="eastAsia" w:asciiTheme="minorEastAsia" w:hAnsiTheme="minorEastAsia" w:eastAsiaTheme="minorEastAsia"/>
          <w:lang w:val="zh-CN"/>
        </w:rPr>
        <w:t xml:space="preserve">附件四、</w:t>
      </w:r>
      <w:bookmarkEnd w:id="116"/>
      <w:r/>
      <w:bookmarkEnd w:id="117"/>
      <w:r/>
      <w:bookmarkEnd w:id="118"/>
      <w:r>
        <w:rPr>
          <w:rFonts w:hint="eastAsia" w:asciiTheme="minorEastAsia" w:hAnsiTheme="minorEastAsia" w:eastAsiaTheme="minorEastAsia"/>
          <w:lang w:val="zh-CN"/>
        </w:rPr>
        <w:t xml:space="preserve">开标一览表</w:t>
      </w:r>
      <w:bookmarkEnd w:id="119"/>
      <w:r/>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07"/>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120"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20"/>
      <w:r/>
      <w:r/>
    </w:p>
    <w:p>
      <w:pPr>
        <w:jc w:val="left"/>
        <w:spacing w:line="360" w:lineRule="auto"/>
        <w:shd w:val="clear" w:color="auto" w:fill="ffffff"/>
        <w:widowControl/>
        <w:rPr>
          <w:rFonts w:hint="eastAsia" w:asciiTheme="minorEastAsia" w:hAnsiTheme="minorEastAsia" w:eastAsiaTheme="minorEastAsia"/>
          <w:szCs w:val="21"/>
          <w:u w:val="single"/>
        </w:rPr>
      </w:pPr>
      <w:r/>
      <w:bookmarkStart w:id="121" w:name="_Hlk175836563"/>
      <w:r>
        <w:rPr>
          <w:rFonts w:hint="eastAsia" w:cs="宋体" w:asciiTheme="minorEastAsia" w:hAnsiTheme="minorEastAsia" w:eastAsiaTheme="minorEastAsia"/>
          <w:szCs w:val="21"/>
        </w:rPr>
        <w:t xml:space="preserve">投标人（</w:t>
      </w:r>
      <w:bookmarkStart w:id="122" w:name="_Hlk176254322"/>
      <w:r>
        <w:rPr>
          <w:rFonts w:hint="eastAsia" w:cs="宋体" w:asciiTheme="minorEastAsia" w:hAnsiTheme="minorEastAsia" w:eastAsiaTheme="minorEastAsia"/>
          <w:szCs w:val="21"/>
        </w:rPr>
        <w:t xml:space="preserve">加盖电子公章</w:t>
      </w:r>
      <w:bookmarkEnd w:id="122"/>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bookmarkEnd w:id="121"/>
      <w:r/>
      <w:r/>
    </w:p>
    <w:p>
      <w:pPr>
        <w:shd w:val="nil" w:color="auto"/>
        <w:rPr>
          <w:rFonts w:hint="eastAsia" w:asciiTheme="minorEastAsia" w:hAnsiTheme="minorEastAsia" w:eastAsiaTheme="minorEastAsia"/>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91"/>
        <w:rPr>
          <w:rFonts w:hint="eastAsia" w:asciiTheme="minorEastAsia" w:hAnsiTheme="minorEastAsia" w:eastAsiaTheme="minorEastAsia"/>
          <w:lang w:val="zh-CN"/>
        </w:rPr>
      </w:pPr>
      <w:r/>
      <w:bookmarkStart w:id="123" w:name="_Toc12264"/>
      <w:r/>
      <w:bookmarkStart w:id="124" w:name="_Toc43917774"/>
      <w:r/>
      <w:bookmarkStart w:id="125" w:name="_Toc66375427"/>
      <w:r>
        <w:rPr>
          <w:rFonts w:hint="eastAsia" w:asciiTheme="minorEastAsia" w:hAnsiTheme="minorEastAsia" w:eastAsiaTheme="minorEastAsia"/>
          <w:lang w:val="zh-CN"/>
        </w:rPr>
        <w:t xml:space="preserve">附件五、分项报价表</w:t>
      </w:r>
      <w:bookmarkEnd w:id="123"/>
      <w:r/>
      <w:bookmarkEnd w:id="124"/>
      <w:r/>
      <w:bookmarkEnd w:id="125"/>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126" w:name="OLE_LINK39"/>
      <w:r>
        <w:rPr>
          <w:rFonts w:hint="eastAsia" w:asciiTheme="minorEastAsia" w:hAnsiTheme="minorEastAsia" w:eastAsiaTheme="minorEastAsia"/>
          <w:b/>
          <w:sz w:val="32"/>
          <w:szCs w:val="32"/>
        </w:rPr>
        <w:t xml:space="preserve">分项报价表</w:t>
      </w:r>
      <w:bookmarkEnd w:id="126"/>
      <w:r/>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27" w:name="OLE_LINK42"/>
      <w:r>
        <w:rPr>
          <w:rFonts w:hint="eastAsia" w:asciiTheme="minorEastAsia" w:hAnsiTheme="minorEastAsia" w:eastAsiaTheme="minorEastAsia"/>
          <w:szCs w:val="21"/>
        </w:rPr>
        <w:t xml:space="preserve">投标总价</w:t>
      </w:r>
      <w:bookmarkEnd w:id="127"/>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4.投标人应详细填报分项报价表，完整披露拟定方案中各环节费用明细；报价须符合实际情况，虚假报价将承担相应责任。</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28" w:name="_Hlk176254340"/>
      <w:r>
        <w:rPr>
          <w:rFonts w:hint="eastAsia" w:cs="宋体" w:asciiTheme="minorEastAsia" w:hAnsiTheme="minorEastAsia" w:eastAsiaTheme="minorEastAsia"/>
          <w:szCs w:val="21"/>
        </w:rPr>
        <w:t xml:space="preserve">加盖电子公章</w:t>
      </w:r>
      <w:bookmarkEnd w:id="128"/>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pStyle w:val="891"/>
        <w:rPr>
          <w:rFonts w:hint="eastAsia" w:asciiTheme="minorEastAsia" w:hAnsiTheme="minorEastAsia" w:eastAsiaTheme="minorEastAsia"/>
          <w:lang w:val="zh-CN"/>
        </w:rPr>
      </w:pPr>
      <w:r>
        <w:rPr>
          <w:rFonts w:asciiTheme="minorEastAsia" w:hAnsiTheme="minorEastAsia" w:eastAsiaTheme="minorEastAsia"/>
          <w:szCs w:val="21"/>
        </w:rPr>
        <w:br w:type="page" w:clear="all"/>
      </w:r>
      <w:bookmarkStart w:id="129" w:name="_Toc43917775"/>
      <w:r/>
      <w:bookmarkStart w:id="130" w:name="_Toc66375428"/>
      <w:r>
        <w:rPr>
          <w:rFonts w:hint="eastAsia" w:asciiTheme="minorEastAsia" w:hAnsiTheme="minorEastAsia" w:eastAsiaTheme="minorEastAsia"/>
          <w:lang w:val="zh-CN"/>
        </w:rPr>
        <w:t xml:space="preserve">附件六、</w:t>
      </w:r>
      <w:bookmarkStart w:id="131" w:name="_Hlk176528721"/>
      <w:r>
        <w:rPr>
          <w:rFonts w:hint="eastAsia" w:asciiTheme="minorEastAsia" w:hAnsiTheme="minorEastAsia" w:eastAsiaTheme="minorEastAsia"/>
          <w:lang w:val="zh-CN"/>
        </w:rPr>
        <w:t xml:space="preserve">技术要求响应及偏离表</w:t>
      </w:r>
      <w:bookmarkEnd w:id="129"/>
      <w:r/>
      <w:bookmarkEnd w:id="130"/>
      <w:r/>
      <w:bookmarkEnd w:id="131"/>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32"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5980"/>
        <w:gridCol w:w="909"/>
        <w:gridCol w:w="624"/>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33"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5980"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5980"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（一）研究内容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依据玄武当前发展情况，开展中长期战略研究，提出玄武长远发展战略与行动举措。主要内容包括：</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1.开展战略调研。开展对各部门、板块以及重点企业、重点高校、重点人群等的调研走访，深化对现状基础的了解和认识，形成调研报告。</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2.开展战略研究。包括且不限于对趋势研判、现状诊断、目标定位、战略举措、空间布局、近期行动等内容的研究，形成综合报告，初步要求如下（需覆盖全部领域，具体内容可根据研究结论优化）：</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（1）趋势研判和综合诊断</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准确理解战略研究的目标意义，立足长远把握经济、人口趋势，研判未来玄武区的发展方位。深度认知玄武区的发展脉络与现状基础，精准识别“人、地、房、企”画像，细化分析数据颗粒度，深度理解人群和企业的选择与偏好，识别玄武发展的优势与挑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（2）国际对标与目标定位</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秉持国际视野，精准对标国际、国内案例，确立长久坚持的目标愿景与路径方向。准确定位玄武区的发展坐标，研究确立面向2050年的总体愿景，提炼发展定位与新功能，提出战略路径与时序安排。</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（3）发展战略与行动举措</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从活力提升、人口发展、文化魅力、创新产业、治理能力等多个维度提出发展战略，制定行动举措。</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活力提升方面，把握城市更新重点，在全市率先打造“活力中心区”先行示范区。选取区内最具人气、交通便利、有历史基础和未来潜力的区域，探索土地利用、经营许可、税收减免等政策创新，创新沉浸式、体验式、多元场景的融合消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人口发展方面，强化人才吸引，营建青年向往的“有趣”城区。玄武区内高等院校和研究院所较多，未来应进一步做好人才和青年的留育和吸引，在做好青年安居与就业促进的基础上，营造更多元、更好玩的城市空间，成为青年向往的理想城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文化魅力方面，引领六朝古都焕发新活力，在全面认识、整体保护的基础上进一步做好活化利用。将历史人文特色和山水城林特色融入现代生活，成为南京“世界博物馆之城”“世界文学之都”“国际旅游目的地”城市品牌的核心承载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创新产业方面，围绕“数模碳跨”新兴方向，强化创新引领，促进科技创新和产业创新融合发展，激活环湖、环山各类资源。</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治理能力方面，建设精品城区，创新理念、模式、手段破解基层治理难题，构建有标识度和美誉度的“玄武社区”。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（4）空间方针与功能布局</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明晰功能承载的核心板块。明确玄武区功能分区、主导功能和牵头主体，强化空间板块对核心功能的耦合支撑。优化资源配置，使各功能区特色更加鲜明，共同支撑实现全区综合功能与竞争力提升。</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（5）近期实施与项目抓手</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衔接“十五五”规划编制，将长远战略意图分解落实到近期。识别一批更新街区，包括十朝都会文博区、环山滨湖板块、南京站前片区、文学之路等关键节点；明确一批重点项目，细化未来五年的重点举措和重大项目；争取系列重大政策，支撑未来发展。</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3.开展重点专题研究。聚焦区委、区政府关心的重点专题，开展对应的专题研究，形成研究内参和政策建议文件。</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4.提供相关技术支撑。确保全过程及时响应，协助采购人开展公众宣传、政策制定等后续工作。</w:t>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5980"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（二）研究成果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通过本项目研究，形成以下研究成果：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1份总报告：战略编制的综合报告，包括发展研判、目标愿景、关键策略、行动计划、实施保障等内容，要求图文并茂，总字数不少于5万字。</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1份调研报告：梳理汇总调研访谈记录，提炼归纳核心结论，作为对总报告的研究支撑。</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1系列政务专报：聚焦区委区政府关心的重点专题，结合研究进展，以“答卷”形式提炼形成研究内参和政策建议文件。</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1份公众手册：简明通俗、形象生动的公众版本，用于成果宣贯。</w:t>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5980"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（三）人员要求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项目组团队人员：总负责人1名；整体项目团队人员应配备不少于5人。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配备人员要求：团队人员需具有实施相关城市发展战略研究经验和能力；投标文件中需列明各项专职人员，以及项目实施过程中的具体岗位、具体负责事宜。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开展本项目过程中，配备人员具体行为必须符合相关法律法规、政策及项目文件要求规定；各项工作计划需提前书面报备采购人确认，经采购人后方可组织实施。</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所配备的成员一经确认，未经采购人书面同意，不得更换。</w:t>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w:t>
            </w:r>
            <w:r/>
          </w:p>
        </w:tc>
        <w:tc>
          <w:tcPr>
            <w:tcMar>
              <w:left w:w="10" w:type="dxa"/>
              <w:top w:w="0" w:type="dxa"/>
              <w:right w:w="10" w:type="dxa"/>
              <w:bottom w:w="0" w:type="dxa"/>
            </w:tcMar>
            <w:tcW w:w="5980" w:type="dxa"/>
            <w:vAlign w:val="center"/>
            <w:textDirection w:val="lrTb"/>
            <w:noWrap w:val="false"/>
          </w:tcPr>
          <w:p>
            <w:pPr>
              <w:jc w:val="center"/>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其他技术要求</w:t>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Mar>
              <w:left w:w="10" w:type="dxa"/>
              <w:top w:w="0" w:type="dxa"/>
              <w:right w:w="10" w:type="dxa"/>
              <w:bottom w:w="0" w:type="dxa"/>
            </w:tcMar>
            <w:tcW w:w="598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90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33"/>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34" w:name="OLE_LINK37"/>
      <w:r>
        <w:rPr>
          <w:rFonts w:hint="eastAsia" w:asciiTheme="minorEastAsia" w:hAnsiTheme="minorEastAsia" w:eastAsiaTheme="minorEastAsia"/>
          <w:b/>
          <w:bCs/>
          <w:szCs w:val="21"/>
        </w:rPr>
        <w:t xml:space="preserve">1.</w:t>
      </w:r>
      <w:bookmarkStart w:id="135" w:name="OLE_LINK41"/>
      <w:r>
        <w:rPr>
          <w:rFonts w:hint="eastAsia" w:asciiTheme="minorEastAsia" w:hAnsiTheme="minorEastAsia" w:eastAsiaTheme="minorEastAsia"/>
          <w:b/>
          <w:bCs/>
        </w:rPr>
        <w:t xml:space="preserve">投标人</w:t>
      </w:r>
      <w:bookmarkEnd w:id="135"/>
      <w:r>
        <w:rPr>
          <w:rFonts w:hint="eastAsia" w:asciiTheme="minorEastAsia" w:hAnsiTheme="minorEastAsia" w:eastAsiaTheme="minorEastAsia"/>
          <w:b/>
          <w:bCs/>
          <w:szCs w:val="21"/>
        </w:rPr>
        <w:t xml:space="preserve">须对招标文件技术要求中的实质性要求（斜体下划线内容或打“★”</w:t>
      </w:r>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投标人未对实质性要求作出明确响应或有负偏离的，视为无效投标。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32"/>
      <w:r/>
      <w:bookmarkEnd w:id="134"/>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rPr>
          <w:rFonts w:hint="eastAsia" w:asciiTheme="minorEastAsia" w:hAnsiTheme="minorEastAsia" w:eastAsiaTheme="minorEastAsia"/>
        </w:rPr>
      </w:pPr>
      <w:r/>
      <w:bookmarkStart w:id="136" w:name="_Toc43917776"/>
      <w:r/>
      <w:bookmarkStart w:id="137" w:name="_Toc66375429"/>
      <w:r>
        <w:rPr>
          <w:rFonts w:hint="eastAsia" w:asciiTheme="minorEastAsia" w:hAnsiTheme="minorEastAsia" w:eastAsiaTheme="minorEastAsia"/>
        </w:rPr>
        <w:br w:type="page" w:clear="all"/>
      </w:r>
      <w:r/>
    </w:p>
    <w:p>
      <w:pPr>
        <w:pStyle w:val="891"/>
        <w:numPr>
          <w:ilvl w:val="1"/>
          <w:numId w:val="0"/>
        </w:numPr>
        <w:rPr>
          <w:rFonts w:hint="eastAsia" w:asciiTheme="minorEastAsia" w:hAnsiTheme="minorEastAsia" w:eastAsiaTheme="minorEastAsia"/>
        </w:rPr>
      </w:pPr>
      <w:r>
        <w:rPr>
          <w:rFonts w:hint="eastAsia" w:asciiTheme="minorEastAsia" w:hAnsiTheme="minorEastAsia" w:eastAsiaTheme="minorEastAsia"/>
        </w:rPr>
        <w:t xml:space="preserve">附件七、</w:t>
      </w:r>
      <w:bookmarkStart w:id="138" w:name="_Hlk176528748"/>
      <w:r>
        <w:rPr>
          <w:rFonts w:hint="eastAsia" w:asciiTheme="minorEastAsia" w:hAnsiTheme="minorEastAsia" w:eastAsiaTheme="minorEastAsia"/>
        </w:rPr>
        <w:t xml:space="preserve">商务要求响应及偏离表</w:t>
      </w:r>
      <w:bookmarkEnd w:id="136"/>
      <w:r/>
      <w:bookmarkEnd w:id="137"/>
      <w:r/>
      <w:bookmarkEnd w:id="138"/>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139" w:name="_Hlk176528759"/>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40"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（一）完成时间</w:t>
            </w:r>
            <w:r/>
          </w:p>
          <w:p>
            <w:pP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合同签订后立即启动项目研究工作，2025年12月底前形成初步成果并向采购人汇报。</w:t>
            </w:r>
            <w:r/>
          </w:p>
          <w:p>
            <w:pP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2026年4月底前完成深化成果，通过采购人组织的专家评审。</w:t>
            </w:r>
            <w:r/>
          </w:p>
          <w:p>
            <w:pP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2026年6月底前完成最终成果，按要求提交全部正式报告。由采购人组织对最终成果进行评审验收，验收合格后正式办理结题手续。采购人下一步相关文件制订过程中，中标人有义务参与并协商承担相应工作。</w:t>
            </w:r>
            <w:r/>
          </w:p>
          <w:p>
            <w:pP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课题研究成果的知识产权归采购人所有。</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采购人按下列程序付款。每次付款在十个工作日内完成。</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1.合同签订后支付合同总额的30%；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2.课题研究深化成果通过采购人组织的专家评审后，采购人向中标人支付合同总额的30%；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3.课题研究最终成果提交至采购人并经验收合格后,采购人向中标人付清合同总额的40%余款。</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（三）报价要求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1.投标人应承担所有与准备和参加投标有关的费用，无论采购结果如何，采购代理机构和采购人在任何情况下均无义务和责任承担这些费用。</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2.投标人应详细填报分项报价表，完整披露拟定方案各环节费用明细；报价须符合实际情况，虚假报价将承担相应责任。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40"/>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931"/>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931"/>
        <w:ind w:firstLine="422"/>
        <w:spacing w:line="360" w:lineRule="auto"/>
        <w:shd w:val="clear" w:color="auto" w:fill="ffffff"/>
        <w:rPr>
          <w:rFonts w:hint="eastAsia"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投标人须对招标文件商务要求中的实质性要求（斜体下划线内容或打“★”“*”内容）做出明确响应，投标人未对实质性要求作出明确响应或有负偏离的，视为无效投标。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39"/>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91"/>
        <w:rPr>
          <w:rFonts w:hint="eastAsia" w:asciiTheme="minorEastAsia" w:hAnsiTheme="minorEastAsia" w:eastAsiaTheme="minorEastAsia"/>
        </w:rPr>
      </w:pPr>
      <w:r/>
      <w:bookmarkStart w:id="141" w:name="_Toc43917778"/>
      <w:r/>
      <w:bookmarkStart w:id="142" w:name="_Toc66375431"/>
      <w:r>
        <w:rPr>
          <w:rFonts w:hint="eastAsia" w:asciiTheme="minorEastAsia" w:hAnsiTheme="minorEastAsia" w:eastAsiaTheme="minorEastAsia"/>
        </w:rPr>
        <w:t xml:space="preserve">附件八、拟参与本项目服务人员一览表</w:t>
      </w:r>
      <w:bookmarkEnd w:id="141"/>
      <w:r/>
      <w:bookmarkEnd w:id="142"/>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43" w:name="_Hlk67995747"/>
      <w:r>
        <w:rPr>
          <w:rFonts w:hint="eastAsia" w:asciiTheme="minorEastAsia" w:hAnsiTheme="minorEastAsia" w:eastAsiaTheme="minorEastAsia"/>
          <w:b/>
          <w:sz w:val="32"/>
          <w:szCs w:val="32"/>
        </w:rPr>
        <w:t xml:space="preserve">拟参与本项目服务人员一览表</w:t>
      </w:r>
      <w:bookmarkEnd w:id="143"/>
      <w:r/>
      <w:bookmarkStart w:id="144" w:name="_Hlk66378104"/>
      <w:r/>
      <w:bookmarkEnd w:id="144"/>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45" w:name="_Hlk66784308"/>
      <w:r>
        <w:rPr>
          <w:rFonts w:hint="eastAsia" w:asciiTheme="minorEastAsia" w:hAnsiTheme="minorEastAsia" w:eastAsiaTheme="minorEastAsia"/>
          <w:szCs w:val="21"/>
        </w:rPr>
        <w:t xml:space="preserve">项目名称：                                 项目编号：</w:t>
      </w:r>
      <w:bookmarkEnd w:id="145"/>
      <w:r/>
      <w:r/>
    </w:p>
    <w:tbl>
      <w:tblPr>
        <w:tblStyle w:val="900"/>
        <w:tblW w:w="1035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lang w:eastAsia="zh-CN"/>
              </w:rPr>
            </w:pPr>
            <w:r>
              <w:rPr>
                <w:rFonts w:hint="eastAsia" w:asciiTheme="minorEastAsia" w:hAnsiTheme="minorEastAsia" w:eastAsiaTheme="minorEastAsia"/>
                <w:b/>
                <w:bCs/>
                <w:szCs w:val="21"/>
                <w:lang w:val="en-US" w:eastAsia="zh-CN"/>
              </w:rPr>
              <w:t xml:space="preserve">岗位</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 xml:space="preserve">负责</w:t>
            </w:r>
            <w:r/>
          </w:p>
          <w:p>
            <w:pPr>
              <w:jc w:val="center"/>
              <w:widowControl/>
              <w:rPr>
                <w:rFonts w:hint="default"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 xml:space="preserve">事宜</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91"/>
        <w:rPr>
          <w:rFonts w:hint="eastAsia" w:asciiTheme="minorEastAsia" w:hAnsiTheme="minorEastAsia" w:eastAsiaTheme="minorEastAsia"/>
        </w:rPr>
      </w:pPr>
      <w:r/>
      <w:bookmarkStart w:id="146" w:name="_Toc43917779"/>
      <w:r/>
      <w:bookmarkStart w:id="147" w:name="_Toc66375432"/>
      <w:r>
        <w:rPr>
          <w:rFonts w:hint="eastAsia" w:asciiTheme="minorEastAsia" w:hAnsiTheme="minorEastAsia" w:eastAsiaTheme="minorEastAsia"/>
        </w:rPr>
        <w:t xml:space="preserve">附件九、投标人类似业绩情况表</w:t>
      </w:r>
      <w:bookmarkEnd w:id="146"/>
      <w:r/>
      <w:bookmarkEnd w:id="147"/>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0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119"/>
        <w:gridCol w:w="2071"/>
        <w:gridCol w:w="1150"/>
        <w:gridCol w:w="1230"/>
        <w:gridCol w:w="1109"/>
        <w:gridCol w:w="888"/>
      </w:tblGrid>
      <w:tr>
        <w:trPr>
          <w:jc w:val="center"/>
        </w:trPr>
        <w:tc>
          <w:tcPr>
            <w:tcW w:w="363"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1146"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1120"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622"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665" w:type="pct"/>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600" w:type="pct"/>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480"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46"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12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22"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65"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80" w:type="pct"/>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148"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49" w:name="_Hlk66378132"/>
      <w:r>
        <w:rPr>
          <w:rFonts w:hint="eastAsia" w:asciiTheme="minorEastAsia" w:hAnsiTheme="minorEastAsia" w:eastAsiaTheme="minorEastAsia"/>
          <w:b/>
          <w:szCs w:val="21"/>
        </w:rPr>
        <w:t xml:space="preserve">并根据招标文件要求附业绩证明材料。</w:t>
      </w:r>
      <w:bookmarkEnd w:id="149"/>
      <w:r/>
      <w:bookmarkEnd w:id="148"/>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asciiTheme="minorEastAsia" w:hAnsiTheme="minorEastAsia" w:eastAsiaTheme="minorEastAsia"/>
        </w:rPr>
        <w:br w:type="page" w:clear="all"/>
      </w:r>
      <w:r/>
    </w:p>
    <w:p>
      <w:pPr>
        <w:pStyle w:val="891"/>
        <w:rPr>
          <w:rFonts w:hint="eastAsia" w:asciiTheme="minorEastAsia" w:hAnsiTheme="minorEastAsia" w:eastAsiaTheme="minorEastAsia"/>
        </w:rPr>
      </w:pPr>
      <w:r/>
      <w:bookmarkStart w:id="150" w:name="_Toc66375433"/>
      <w:r/>
      <w:bookmarkStart w:id="151" w:name="_Toc43917780"/>
      <w:r>
        <w:rPr>
          <w:rFonts w:hint="eastAsia" w:asciiTheme="minorEastAsia" w:hAnsiTheme="minorEastAsia" w:eastAsiaTheme="minorEastAsia"/>
        </w:rPr>
        <w:t xml:space="preserve">附件十、企业声明函</w:t>
      </w:r>
      <w:bookmarkEnd w:id="150"/>
      <w:r/>
      <w:bookmarkEnd w:id="151"/>
      <w:r/>
      <w:r/>
    </w:p>
    <w:p>
      <w:pPr>
        <w:jc w:val="center"/>
        <w:spacing w:line="360" w:lineRule="auto"/>
        <w:rPr>
          <w:rFonts w:hint="eastAsia" w:cs="Arial" w:asciiTheme="minorEastAsia" w:hAnsiTheme="minorEastAsia" w:eastAsiaTheme="minorEastAsia"/>
          <w:b/>
          <w:bCs/>
          <w:sz w:val="28"/>
          <w:szCs w:val="28"/>
        </w:rPr>
      </w:pPr>
      <w:r/>
      <w:bookmarkStart w:id="152" w:name="_Hlk84581158"/>
      <w:r/>
      <w:bookmarkStart w:id="153" w:name="OLE_LINK14"/>
      <w:r/>
      <w:bookmarkStart w:id="154" w:name="OLE_LINK13"/>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其它未列明行业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其它未列明行业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152"/>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53"/>
      <w:r/>
      <w:bookmarkEnd w:id="154"/>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891"/>
        <w:rPr>
          <w:rFonts w:hint="eastAsia" w:asciiTheme="minorEastAsia" w:hAnsiTheme="minorEastAsia" w:eastAsiaTheme="minorEastAsia"/>
        </w:rPr>
      </w:pPr>
      <w:r/>
      <w:bookmarkStart w:id="155" w:name="_Toc66375434"/>
      <w:r/>
      <w:bookmarkStart w:id="156" w:name="_Toc43917781"/>
      <w:r>
        <w:rPr>
          <w:rFonts w:hint="eastAsia" w:asciiTheme="minorEastAsia" w:hAnsiTheme="minorEastAsia" w:eastAsiaTheme="minorEastAsia"/>
        </w:rPr>
        <w:t xml:space="preserve">附件十一、无重大违法记录声明</w:t>
      </w:r>
      <w:bookmarkEnd w:id="155"/>
      <w:r/>
      <w:bookmarkEnd w:id="156"/>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南京市玄武区发展和改革委员会</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91"/>
        <w:rPr>
          <w:rFonts w:hint="eastAsia" w:asciiTheme="minorEastAsia" w:hAnsiTheme="minorEastAsia" w:eastAsiaTheme="minorEastAsia"/>
        </w:rPr>
      </w:pPr>
      <w:r/>
      <w:bookmarkStart w:id="157" w:name="_Toc1487"/>
      <w:r>
        <w:rPr>
          <w:rFonts w:hint="eastAsia" w:asciiTheme="minorEastAsia" w:hAnsiTheme="minorEastAsia" w:eastAsiaTheme="minorEastAsia"/>
        </w:rPr>
        <w:t xml:space="preserve">附件十二、具有履行合同所必需的设备和专业技术能力的声明</w:t>
      </w:r>
      <w:bookmarkEnd w:id="157"/>
      <w:r/>
      <w:r/>
    </w:p>
    <w:p>
      <w:pPr>
        <w:jc w:val="center"/>
        <w:spacing w:line="240" w:lineRule="atLeast"/>
        <w:rPr>
          <w:rFonts w:hint="eastAsia" w:asciiTheme="minorEastAsia" w:hAnsiTheme="minorEastAsia" w:eastAsiaTheme="minorEastAsia"/>
          <w:b/>
          <w:bCs/>
          <w:sz w:val="32"/>
          <w:szCs w:val="32"/>
        </w:rPr>
      </w:pPr>
      <w:r/>
      <w:bookmarkStart w:id="158"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58"/>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致：南京市玄武区发展和改革委员会</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1"/>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2">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7"/>
      <w:isLgl w:val="false"/>
      <w:suff w:val="tab"/>
      <w:lvlText w:val="%6."/>
      <w:lvlJc w:val="left"/>
      <w:pPr>
        <w:ind w:left="4320" w:hanging="360"/>
        <w:tabs>
          <w:tab w:val="left" w:pos="4320" w:leader="none"/>
        </w:tabs>
      </w:pPr>
    </w:lvl>
    <w:lvl w:ilvl="6">
      <w:start w:val="1"/>
      <w:numFmt w:val="decimal"/>
      <w:pStyle w:val="1088"/>
      <w:isLgl w:val="false"/>
      <w:suff w:val="tab"/>
      <w:lvlText w:val="%7."/>
      <w:lvlJc w:val="left"/>
      <w:pPr>
        <w:ind w:left="5040" w:hanging="360"/>
        <w:tabs>
          <w:tab w:val="left" w:pos="5040" w:leader="none"/>
        </w:tabs>
      </w:pPr>
    </w:lvl>
    <w:lvl w:ilvl="7">
      <w:start w:val="1"/>
      <w:numFmt w:val="decimal"/>
      <w:pStyle w:val="1089"/>
      <w:isLgl w:val="false"/>
      <w:suff w:val="tab"/>
      <w:lvlText w:val="%8."/>
      <w:lvlJc w:val="left"/>
      <w:pPr>
        <w:ind w:left="5760" w:hanging="360"/>
        <w:tabs>
          <w:tab w:val="left" w:pos="5760" w:leader="none"/>
        </w:tabs>
      </w:pPr>
    </w:lvl>
    <w:lvl w:ilvl="8">
      <w:start w:val="1"/>
      <w:numFmt w:val="decimal"/>
      <w:pStyle w:val="1090"/>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3"/>
    <w:uiPriority w:val="10"/>
    <w:rPr>
      <w:sz w:val="48"/>
      <w:szCs w:val="48"/>
    </w:rPr>
  </w:style>
  <w:style w:type="character" w:styleId="748">
    <w:name w:val="Subtitle Char"/>
    <w:basedOn w:val="899"/>
    <w:link w:val="925"/>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2"/>
    <w:uiPriority w:val="99"/>
  </w:style>
  <w:style w:type="character" w:styleId="754">
    <w:name w:val="Footer Char"/>
    <w:basedOn w:val="899"/>
    <w:link w:val="921"/>
    <w:uiPriority w:val="99"/>
  </w:style>
  <w:style w:type="character" w:styleId="755">
    <w:name w:val="Caption Char"/>
    <w:basedOn w:val="908"/>
    <w:link w:val="921"/>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2"/>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1"/>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7"/>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Body Text"/>
    <w:basedOn w:val="889"/>
    <w:next w:val="902"/>
    <w:link w:val="1056"/>
    <w:uiPriority w:val="0"/>
    <w:qFormat/>
    <w:pPr>
      <w:jc w:val="center"/>
    </w:pPr>
    <w:rPr>
      <w:rFonts w:eastAsia="幼圆"/>
      <w:b/>
      <w:bCs/>
      <w:sz w:val="44"/>
    </w:rPr>
  </w:style>
  <w:style w:type="paragraph" w:styleId="902" w:customStyle="1">
    <w:name w:val="一级条标题"/>
    <w:basedOn w:val="903"/>
    <w:next w:val="90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03" w:customStyle="1">
    <w:name w:val="章标题"/>
    <w:next w:val="889"/>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04" w:customStyle="1">
    <w:name w:val="段"/>
    <w:next w:val="889"/>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905">
    <w:name w:val="List 3"/>
    <w:basedOn w:val="889"/>
    <w:uiPriority w:val="99"/>
    <w:unhideWhenUsed/>
    <w:qFormat/>
    <w:pPr>
      <w:ind w:left="1260" w:hanging="420"/>
      <w:spacing w:before="100" w:beforeAutospacing="1" w:after="100" w:afterAutospacing="1"/>
    </w:pPr>
    <w:rPr>
      <w:szCs w:val="21"/>
    </w:rPr>
  </w:style>
  <w:style w:type="paragraph" w:styleId="906">
    <w:name w:val="toc 7"/>
    <w:basedOn w:val="889"/>
    <w:next w:val="889"/>
    <w:uiPriority w:val="39"/>
    <w:unhideWhenUsed/>
    <w:qFormat/>
    <w:pPr>
      <w:ind w:left="2520"/>
    </w:pPr>
    <w:rPr>
      <w:rFonts w:ascii="Calibri" w:hAnsi="Calibri"/>
      <w:szCs w:val="22"/>
    </w:rPr>
  </w:style>
  <w:style w:type="paragraph" w:styleId="907">
    <w:name w:val="Normal Indent"/>
    <w:basedOn w:val="889"/>
    <w:link w:val="1091"/>
    <w:uiPriority w:val="0"/>
    <w:qFormat/>
    <w:pPr>
      <w:ind w:firstLine="420"/>
    </w:pPr>
    <w:rPr>
      <w:b/>
      <w:sz w:val="24"/>
      <w:szCs w:val="20"/>
    </w:rPr>
  </w:style>
  <w:style w:type="paragraph" w:styleId="908">
    <w:name w:val="Caption"/>
    <w:basedOn w:val="889"/>
    <w:next w:val="889"/>
    <w:uiPriority w:val="0"/>
    <w:qFormat/>
    <w:rPr>
      <w:rFonts w:ascii="Cambria" w:hAnsi="Cambria" w:eastAsia="黑体"/>
      <w:sz w:val="20"/>
      <w:szCs w:val="22"/>
    </w:rPr>
  </w:style>
  <w:style w:type="paragraph" w:styleId="909">
    <w:name w:val="Document Map"/>
    <w:basedOn w:val="889"/>
    <w:link w:val="1028"/>
    <w:uiPriority w:val="0"/>
    <w:qFormat/>
    <w:rPr>
      <w:rFonts w:ascii="宋体"/>
      <w:sz w:val="18"/>
      <w:szCs w:val="18"/>
    </w:rPr>
  </w:style>
  <w:style w:type="paragraph" w:styleId="910">
    <w:name w:val="annotation text"/>
    <w:basedOn w:val="889"/>
    <w:link w:val="1049"/>
    <w:uiPriority w:val="99"/>
    <w:qFormat/>
    <w:pPr>
      <w:jc w:val="left"/>
    </w:pPr>
  </w:style>
  <w:style w:type="paragraph" w:styleId="911">
    <w:name w:val="Body Text 3"/>
    <w:basedOn w:val="889"/>
    <w:link w:val="1067"/>
    <w:uiPriority w:val="0"/>
    <w:qFormat/>
    <w:rPr>
      <w:rFonts w:ascii="宋体"/>
      <w:sz w:val="24"/>
      <w:szCs w:val="20"/>
    </w:rPr>
  </w:style>
  <w:style w:type="paragraph" w:styleId="912">
    <w:name w:val="Body Text Indent"/>
    <w:basedOn w:val="889"/>
    <w:link w:val="1017"/>
    <w:uiPriority w:val="0"/>
    <w:qFormat/>
    <w:pPr>
      <w:ind w:left="420"/>
      <w:spacing w:after="120"/>
    </w:pPr>
  </w:style>
  <w:style w:type="paragraph" w:styleId="913">
    <w:name w:val="index 4"/>
    <w:basedOn w:val="889"/>
    <w:next w:val="889"/>
    <w:uiPriority w:val="0"/>
    <w:qFormat/>
    <w:pPr>
      <w:ind w:left="600"/>
    </w:pPr>
    <w:rPr>
      <w:rFonts w:ascii="Calibri" w:hAnsi="Calibri"/>
    </w:rPr>
  </w:style>
  <w:style w:type="paragraph" w:styleId="914">
    <w:name w:val="toc 5"/>
    <w:basedOn w:val="889"/>
    <w:next w:val="889"/>
    <w:uiPriority w:val="39"/>
    <w:unhideWhenUsed/>
    <w:qFormat/>
    <w:pPr>
      <w:ind w:left="1680"/>
    </w:pPr>
    <w:rPr>
      <w:rFonts w:ascii="Calibri" w:hAnsi="Calibri"/>
      <w:szCs w:val="22"/>
    </w:rPr>
  </w:style>
  <w:style w:type="paragraph" w:styleId="915">
    <w:name w:val="toc 3"/>
    <w:basedOn w:val="889"/>
    <w:next w:val="889"/>
    <w:uiPriority w:val="39"/>
    <w:qFormat/>
    <w:pPr>
      <w:ind w:left="840"/>
    </w:pPr>
    <w:rPr>
      <w:rFonts w:ascii="Calibri" w:hAnsi="Calibri"/>
      <w:szCs w:val="22"/>
    </w:rPr>
  </w:style>
  <w:style w:type="paragraph" w:styleId="916">
    <w:name w:val="Plain Text"/>
    <w:basedOn w:val="889"/>
    <w:link w:val="1022"/>
    <w:uiPriority w:val="0"/>
    <w:qFormat/>
    <w:rPr>
      <w:rFonts w:ascii="Ari"/>
      <w:sz w:val="20"/>
      <w:szCs w:val="20"/>
    </w:rPr>
  </w:style>
  <w:style w:type="paragraph" w:styleId="917">
    <w:name w:val="toc 8"/>
    <w:basedOn w:val="889"/>
    <w:next w:val="889"/>
    <w:uiPriority w:val="39"/>
    <w:unhideWhenUsed/>
    <w:qFormat/>
    <w:pPr>
      <w:ind w:left="2940"/>
    </w:pPr>
    <w:rPr>
      <w:rFonts w:ascii="Calibri" w:hAnsi="Calibri"/>
      <w:szCs w:val="22"/>
    </w:rPr>
  </w:style>
  <w:style w:type="paragraph" w:styleId="918">
    <w:name w:val="Date"/>
    <w:basedOn w:val="889"/>
    <w:next w:val="889"/>
    <w:link w:val="1029"/>
    <w:uiPriority w:val="0"/>
    <w:unhideWhenUsed/>
    <w:qFormat/>
  </w:style>
  <w:style w:type="paragraph" w:styleId="919">
    <w:name w:val="Body Text Indent 2"/>
    <w:basedOn w:val="889"/>
    <w:link w:val="1048"/>
    <w:uiPriority w:val="99"/>
    <w:unhideWhenUsed/>
    <w:qFormat/>
    <w:pPr>
      <w:ind w:firstLine="525"/>
      <w:spacing w:line="420" w:lineRule="exact"/>
    </w:pPr>
    <w:rPr>
      <w:rFonts w:ascii="宋体"/>
      <w:sz w:val="20"/>
      <w:szCs w:val="20"/>
    </w:rPr>
  </w:style>
  <w:style w:type="paragraph" w:styleId="920">
    <w:name w:val="Balloon Text"/>
    <w:basedOn w:val="889"/>
    <w:link w:val="1070"/>
    <w:uiPriority w:val="0"/>
    <w:qFormat/>
    <w:rPr>
      <w:sz w:val="18"/>
      <w:szCs w:val="18"/>
    </w:rPr>
  </w:style>
  <w:style w:type="paragraph" w:styleId="921">
    <w:name w:val="Footer"/>
    <w:basedOn w:val="889"/>
    <w:link w:val="1061"/>
    <w:uiPriority w:val="99"/>
    <w:qFormat/>
    <w:pPr>
      <w:jc w:val="left"/>
      <w:tabs>
        <w:tab w:val="center" w:pos="4153" w:leader="none"/>
        <w:tab w:val="right" w:pos="8306" w:leader="none"/>
      </w:tabs>
    </w:pPr>
    <w:rPr>
      <w:sz w:val="18"/>
      <w:szCs w:val="18"/>
    </w:rPr>
  </w:style>
  <w:style w:type="paragraph" w:styleId="922">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3">
    <w:name w:val="toc 1"/>
    <w:basedOn w:val="889"/>
    <w:next w:val="889"/>
    <w:uiPriority w:val="39"/>
    <w:qFormat/>
  </w:style>
  <w:style w:type="paragraph" w:styleId="924">
    <w:name w:val="toc 4"/>
    <w:basedOn w:val="889"/>
    <w:next w:val="889"/>
    <w:uiPriority w:val="39"/>
    <w:unhideWhenUsed/>
    <w:qFormat/>
    <w:pPr>
      <w:ind w:left="1260"/>
    </w:pPr>
    <w:rPr>
      <w:rFonts w:ascii="Calibri" w:hAnsi="Calibri"/>
      <w:szCs w:val="22"/>
    </w:rPr>
  </w:style>
  <w:style w:type="paragraph" w:styleId="925">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6">
    <w:name w:val="toc 6"/>
    <w:basedOn w:val="889"/>
    <w:next w:val="889"/>
    <w:uiPriority w:val="39"/>
    <w:unhideWhenUsed/>
    <w:qFormat/>
    <w:pPr>
      <w:ind w:left="2100"/>
    </w:pPr>
    <w:rPr>
      <w:rFonts w:ascii="Calibri" w:hAnsi="Calibri"/>
      <w:szCs w:val="22"/>
    </w:rPr>
  </w:style>
  <w:style w:type="paragraph" w:styleId="927">
    <w:name w:val="Body Text Indent 3"/>
    <w:basedOn w:val="889"/>
    <w:link w:val="1068"/>
    <w:uiPriority w:val="0"/>
    <w:qFormat/>
    <w:pPr>
      <w:ind w:left="420"/>
      <w:spacing w:after="120"/>
    </w:pPr>
    <w:rPr>
      <w:sz w:val="16"/>
      <w:szCs w:val="20"/>
    </w:rPr>
  </w:style>
  <w:style w:type="paragraph" w:styleId="928">
    <w:name w:val="toc 2"/>
    <w:basedOn w:val="889"/>
    <w:next w:val="889"/>
    <w:uiPriority w:val="39"/>
    <w:qFormat/>
    <w:pPr>
      <w:ind w:left="420"/>
    </w:pPr>
    <w:rPr>
      <w:rFonts w:ascii="Calibri" w:hAnsi="Calibri"/>
      <w:szCs w:val="22"/>
    </w:rPr>
  </w:style>
  <w:style w:type="paragraph" w:styleId="929">
    <w:name w:val="toc 9"/>
    <w:basedOn w:val="889"/>
    <w:next w:val="889"/>
    <w:uiPriority w:val="39"/>
    <w:unhideWhenUsed/>
    <w:qFormat/>
    <w:pPr>
      <w:ind w:left="3360"/>
    </w:pPr>
    <w:rPr>
      <w:rFonts w:ascii="Calibri" w:hAnsi="Calibri"/>
      <w:szCs w:val="22"/>
    </w:rPr>
  </w:style>
  <w:style w:type="paragraph" w:styleId="930">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Normal (Web)"/>
    <w:basedOn w:val="889"/>
    <w:uiPriority w:val="99"/>
    <w:qFormat/>
    <w:pPr>
      <w:jc w:val="left"/>
      <w:spacing w:before="100" w:beforeAutospacing="1" w:after="100" w:afterAutospacing="1"/>
      <w:widowControl/>
    </w:pPr>
    <w:rPr>
      <w:rFonts w:ascii="宋体" w:hAnsi="宋体" w:cs="宋体"/>
      <w:sz w:val="24"/>
    </w:rPr>
  </w:style>
  <w:style w:type="paragraph" w:styleId="932">
    <w:name w:val="index 1"/>
    <w:basedOn w:val="889"/>
    <w:next w:val="889"/>
    <w:uiPriority w:val="0"/>
    <w:qFormat/>
    <w:pPr>
      <w:jc w:val="center"/>
      <w:spacing w:line="220" w:lineRule="exact"/>
    </w:pPr>
    <w:rPr>
      <w:rFonts w:ascii="仿宋_GB2312" w:hAnsi="Calibri" w:eastAsia="仿宋_GB2312"/>
      <w:szCs w:val="22"/>
    </w:rPr>
  </w:style>
  <w:style w:type="paragraph" w:styleId="933">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4">
    <w:name w:val="annotation subject"/>
    <w:basedOn w:val="910"/>
    <w:next w:val="910"/>
    <w:link w:val="1059"/>
    <w:uiPriority w:val="0"/>
    <w:qFormat/>
    <w:rPr>
      <w:b/>
      <w:bCs/>
    </w:rPr>
  </w:style>
  <w:style w:type="paragraph" w:styleId="935">
    <w:name w:val="Body Text First Indent"/>
    <w:basedOn w:val="901"/>
    <w:link w:val="1081"/>
    <w:uiPriority w:val="0"/>
    <w:semiHidden/>
    <w:unhideWhenUsed/>
    <w:qFormat/>
    <w:pPr>
      <w:ind w:firstLine="420"/>
      <w:jc w:val="both"/>
      <w:spacing w:after="120"/>
    </w:pPr>
    <w:rPr>
      <w:rFonts w:eastAsia="宋体"/>
      <w:b w:val="0"/>
      <w:bCs w:val="0"/>
      <w:sz w:val="21"/>
    </w:rPr>
  </w:style>
  <w:style w:type="table" w:styleId="936">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rFonts w:cs="Times New Roman"/>
      <w:b/>
    </w:rPr>
  </w:style>
  <w:style w:type="character" w:styleId="938">
    <w:name w:val="page number"/>
    <w:uiPriority w:val="0"/>
    <w:qFormat/>
    <w:rPr>
      <w:rFonts w:eastAsia="宋体"/>
      <w:b/>
      <w:spacing w:val="0"/>
      <w:sz w:val="24"/>
      <w:szCs w:val="24"/>
      <w:lang w:val="en-US" w:eastAsia="zh-CN" w:bidi="ar-SA"/>
    </w:rPr>
  </w:style>
  <w:style w:type="character" w:styleId="939">
    <w:name w:val="FollowedHyperlink"/>
    <w:uiPriority w:val="0"/>
    <w:qFormat/>
    <w:rPr>
      <w:color w:val="800080"/>
      <w:u w:val="single"/>
    </w:rPr>
  </w:style>
  <w:style w:type="character" w:styleId="940">
    <w:name w:val="Emphasis"/>
    <w:uiPriority w:val="0"/>
    <w:qFormat/>
    <w:rPr>
      <w:color w:val="cc0000"/>
    </w:rPr>
  </w:style>
  <w:style w:type="character" w:styleId="941">
    <w:name w:val="Hyperlink"/>
    <w:uiPriority w:val="99"/>
    <w:qFormat/>
    <w:rPr>
      <w:color w:val="0000ff"/>
      <w:u w:val="single"/>
    </w:rPr>
  </w:style>
  <w:style w:type="character" w:styleId="942">
    <w:name w:val="annotation reference"/>
    <w:uiPriority w:val="99"/>
    <w:qFormat/>
    <w:rPr>
      <w:sz w:val="21"/>
      <w:szCs w:val="21"/>
    </w:rPr>
  </w:style>
  <w:style w:type="character" w:styleId="943">
    <w:name w:val="HTML Cite"/>
    <w:uiPriority w:val="0"/>
    <w:qFormat/>
    <w:rPr>
      <w:color w:val="008000"/>
    </w:rPr>
  </w:style>
  <w:style w:type="paragraph" w:styleId="944" w:customStyle="1">
    <w:name w:val="正文文本1"/>
    <w:basedOn w:val="889"/>
    <w:uiPriority w:val="0"/>
    <w:qFormat/>
    <w:pPr>
      <w:jc w:val="center"/>
    </w:pPr>
    <w:rPr>
      <w:rFonts w:eastAsia="幼圆"/>
      <w:b/>
      <w:bCs/>
      <w:sz w:val="44"/>
    </w:r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3"/>
    <w:link w:val="1062"/>
    <w:uiPriority w:val="0"/>
    <w:qFormat/>
    <w:pPr>
      <w:numPr>
        <w:numId w:val="0"/>
      </w:numPr>
      <w:spacing w:line="413" w:lineRule="auto"/>
    </w:pPr>
    <w:rPr>
      <w:rFonts w:ascii="Arial" w:hAnsi="Arial"/>
      <w:sz w:val="24"/>
    </w:rPr>
  </w:style>
  <w:style w:type="paragraph" w:styleId="956" w:customStyle="1">
    <w:name w:val="标题 2_0"/>
    <w:basedOn w:val="947"/>
    <w:next w:val="947"/>
    <w:link w:val="1074"/>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8"/>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9"/>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01"/>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12"/>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22"/>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6"/>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3"/>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9"/>
    <w:uiPriority w:val="0"/>
    <w:qFormat/>
    <w:rPr>
      <w:rFonts w:ascii="宋体"/>
      <w:sz w:val="18"/>
      <w:szCs w:val="18"/>
    </w:rPr>
  </w:style>
  <w:style w:type="character" w:styleId="1029" w:customStyle="1">
    <w:name w:val="日期 字符"/>
    <w:link w:val="918"/>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5"/>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9"/>
    <w:uiPriority w:val="99"/>
    <w:qFormat/>
    <w:rPr>
      <w:rFonts w:ascii="宋体"/>
    </w:rPr>
  </w:style>
  <w:style w:type="character" w:styleId="1049" w:customStyle="1">
    <w:name w:val="批注文字 字符"/>
    <w:link w:val="910"/>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标题 1 Char"/>
    <w:uiPriority w:val="0"/>
    <w:qFormat/>
    <w:rPr>
      <w:b/>
      <w:bCs/>
      <w:sz w:val="32"/>
      <w:szCs w:val="44"/>
    </w:rPr>
  </w:style>
  <w:style w:type="character" w:styleId="1056" w:customStyle="1">
    <w:name w:val="正文文本 字符"/>
    <w:link w:val="901"/>
    <w:uiPriority w:val="0"/>
    <w:qFormat/>
    <w:rPr>
      <w:rFonts w:eastAsia="幼圆"/>
      <w:b/>
      <w:bCs/>
      <w:sz w:val="44"/>
      <w:szCs w:val="24"/>
    </w:rPr>
  </w:style>
  <w:style w:type="character" w:styleId="1057" w:customStyle="1">
    <w:name w:val="标题 8 字符"/>
    <w:link w:val="897"/>
    <w:uiPriority w:val="0"/>
    <w:qFormat/>
    <w:rPr>
      <w:rFonts w:ascii="Cambria" w:hAnsi="Cambria" w:eastAsia="宋体" w:cs="Times New Roman"/>
      <w:sz w:val="24"/>
      <w:szCs w:val="24"/>
    </w:rPr>
  </w:style>
  <w:style w:type="character" w:styleId="1058" w:customStyle="1">
    <w:name w:val="副标题 Char1"/>
    <w:uiPriority w:val="11"/>
    <w:qFormat/>
    <w:rPr>
      <w:rFonts w:ascii="Cambria" w:hAnsi="Cambria" w:cs="Times New Roman"/>
      <w:b/>
      <w:bCs/>
      <w:sz w:val="32"/>
      <w:szCs w:val="32"/>
    </w:rPr>
  </w:style>
  <w:style w:type="character" w:styleId="1059" w:customStyle="1">
    <w:name w:val="批注主题 字符"/>
    <w:link w:val="934"/>
    <w:uiPriority w:val="0"/>
    <w:qFormat/>
    <w:rPr>
      <w:b/>
      <w:bCs/>
      <w:sz w:val="21"/>
      <w:szCs w:val="24"/>
    </w:rPr>
  </w:style>
  <w:style w:type="character" w:styleId="1060" w:customStyle="1">
    <w:name w:val="书籍标题1"/>
    <w:uiPriority w:val="0"/>
    <w:qFormat/>
    <w:rPr>
      <w:b/>
      <w:bCs/>
      <w:smallCaps/>
      <w:spacing w:val="5"/>
    </w:rPr>
  </w:style>
  <w:style w:type="character" w:styleId="1061" w:customStyle="1">
    <w:name w:val="页脚 字符"/>
    <w:link w:val="921"/>
    <w:uiPriority w:val="99"/>
    <w:qFormat/>
    <w:rPr>
      <w:sz w:val="18"/>
      <w:szCs w:val="18"/>
    </w:rPr>
  </w:style>
  <w:style w:type="character" w:styleId="1062" w:customStyle="1">
    <w:name w:val="标题4 Char Char"/>
    <w:link w:val="955"/>
    <w:uiPriority w:val="0"/>
    <w:qFormat/>
    <w:rPr>
      <w:rFonts w:ascii="Arial" w:hAnsi="Arial"/>
      <w:b/>
      <w:bCs/>
      <w:sz w:val="24"/>
      <w:szCs w:val="32"/>
    </w:rPr>
  </w:style>
  <w:style w:type="character" w:styleId="1063" w:customStyle="1">
    <w:name w:val="正文文本 Char1"/>
    <w:uiPriority w:val="0"/>
    <w:qFormat/>
    <w:rPr>
      <w:rFonts w:ascii="Calibri" w:hAnsi="Calibri" w:eastAsia="宋体" w:cs="Times New Roman"/>
    </w:rPr>
  </w:style>
  <w:style w:type="character" w:styleId="1064" w:customStyle="1">
    <w:name w:val="明显引用 Char1"/>
    <w:uiPriority w:val="30"/>
    <w:qFormat/>
    <w:rPr>
      <w:b/>
      <w:bCs/>
      <w:i/>
      <w:iCs/>
      <w:color w:val="4f81bd"/>
      <w:sz w:val="21"/>
    </w:rPr>
  </w:style>
  <w:style w:type="character" w:styleId="1065" w:customStyle="1">
    <w:name w:val="页眉 Char1"/>
    <w:uiPriority w:val="99"/>
    <w:semiHidden/>
    <w:qFormat/>
    <w:rPr>
      <w:rFonts w:ascii="Calibri" w:hAnsi="Calibri" w:eastAsia="宋体" w:cs="Times New Roman"/>
      <w:sz w:val="18"/>
      <w:szCs w:val="18"/>
    </w:rPr>
  </w:style>
  <w:style w:type="character" w:styleId="1066" w:customStyle="1">
    <w:name w:val="不明显强调1"/>
    <w:uiPriority w:val="0"/>
    <w:qFormat/>
    <w:rPr>
      <w:i/>
      <w:iCs/>
      <w:color w:val="808080"/>
    </w:rPr>
  </w:style>
  <w:style w:type="character" w:styleId="1067" w:customStyle="1">
    <w:name w:val="正文文本 3 字符"/>
    <w:link w:val="911"/>
    <w:uiPriority w:val="0"/>
    <w:qFormat/>
    <w:rPr>
      <w:rFonts w:ascii="宋体"/>
      <w:sz w:val="24"/>
    </w:rPr>
  </w:style>
  <w:style w:type="character" w:styleId="1068" w:customStyle="1">
    <w:name w:val="正文文本缩进 3 字符"/>
    <w:link w:val="927"/>
    <w:uiPriority w:val="0"/>
    <w:qFormat/>
    <w:rPr>
      <w:sz w:val="16"/>
    </w:rPr>
  </w:style>
  <w:style w:type="character" w:styleId="1069" w:customStyle="1">
    <w:name w:val="font21"/>
    <w:uiPriority w:val="0"/>
    <w:qFormat/>
    <w:rPr>
      <w:rFonts w:hint="eastAsia" w:ascii="宋体" w:hAnsi="宋体" w:eastAsia="宋体" w:cs="宋体"/>
      <w:color w:val="000000"/>
      <w:sz w:val="20"/>
      <w:szCs w:val="20"/>
      <w:u w:val="none"/>
    </w:rPr>
  </w:style>
  <w:style w:type="character" w:styleId="1070" w:customStyle="1">
    <w:name w:val="批注框文本 字符"/>
    <w:link w:val="920"/>
    <w:uiPriority w:val="0"/>
    <w:qFormat/>
    <w:rPr>
      <w:sz w:val="18"/>
      <w:szCs w:val="18"/>
    </w:rPr>
  </w:style>
  <w:style w:type="character" w:styleId="1071" w:customStyle="1">
    <w:name w:val="标题 7 字符"/>
    <w:link w:val="896"/>
    <w:uiPriority w:val="0"/>
    <w:qFormat/>
    <w:rPr>
      <w:b/>
      <w:bCs/>
      <w:sz w:val="24"/>
      <w:szCs w:val="24"/>
    </w:rPr>
  </w:style>
  <w:style w:type="character" w:styleId="1072" w:customStyle="1">
    <w:name w:val="标题 1 字符"/>
    <w:link w:val="890"/>
    <w:uiPriority w:val="0"/>
    <w:qFormat/>
    <w:rPr>
      <w:rFonts w:ascii="Times New Roman" w:hAnsi="Times New Roman" w:eastAsia="宋体" w:cs="Times New Roman"/>
      <w:b/>
      <w:bCs/>
      <w:sz w:val="32"/>
      <w:szCs w:val="44"/>
    </w:rPr>
  </w:style>
  <w:style w:type="character" w:styleId="1073" w:customStyle="1">
    <w:name w:val="文档结构图 Char1"/>
    <w:uiPriority w:val="0"/>
    <w:qFormat/>
    <w:rPr>
      <w:rFonts w:ascii="宋体" w:hAnsi="Calibri" w:eastAsia="宋体" w:cs="Times New Roman"/>
      <w:sz w:val="18"/>
      <w:szCs w:val="18"/>
    </w:rPr>
  </w:style>
  <w:style w:type="character" w:styleId="1074" w:customStyle="1">
    <w:name w:val="标题 2 Char_0"/>
    <w:link w:val="956"/>
    <w:uiPriority w:val="0"/>
    <w:qFormat/>
    <w:rPr>
      <w:rFonts w:ascii="Cambria" w:hAnsi="Cambria"/>
      <w:b/>
      <w:bCs/>
      <w:sz w:val="32"/>
      <w:szCs w:val="32"/>
    </w:rPr>
  </w:style>
  <w:style w:type="character" w:styleId="1075" w:customStyle="1">
    <w:name w:val="日期 Char2"/>
    <w:uiPriority w:val="99"/>
    <w:semiHidden/>
    <w:qFormat/>
    <w:rPr>
      <w:rFonts w:ascii="Calibri" w:hAnsi="Calibri" w:eastAsia="宋体" w:cs="Times New Roman"/>
    </w:rPr>
  </w:style>
  <w:style w:type="character" w:styleId="1076" w:customStyle="1">
    <w:name w:val="批注框文本 Char2"/>
    <w:uiPriority w:val="99"/>
    <w:semiHidden/>
    <w:qFormat/>
    <w:rPr>
      <w:rFonts w:ascii="Calibri" w:hAnsi="Calibri" w:eastAsia="宋体" w:cs="Times New Roman"/>
      <w:sz w:val="18"/>
      <w:szCs w:val="18"/>
    </w:rPr>
  </w:style>
  <w:style w:type="character" w:styleId="1077" w:customStyle="1">
    <w:name w:val="标题 4 字符"/>
    <w:link w:val="893"/>
    <w:uiPriority w:val="0"/>
    <w:qFormat/>
    <w:rPr>
      <w:rFonts w:ascii="Cambria" w:hAnsi="Cambria" w:eastAsia="宋体" w:cs="Times New Roman"/>
      <w:b/>
      <w:bCs/>
      <w:sz w:val="28"/>
      <w:szCs w:val="28"/>
    </w:rPr>
  </w:style>
  <w:style w:type="character" w:styleId="1078" w:customStyle="1">
    <w:name w:val="列出段落 Char"/>
    <w:link w:val="957"/>
    <w:uiPriority w:val="99"/>
    <w:qFormat/>
    <w:rPr>
      <w:sz w:val="21"/>
      <w:szCs w:val="24"/>
    </w:rPr>
  </w:style>
  <w:style w:type="character" w:styleId="1079" w:customStyle="1">
    <w:name w:val="表格文字 字符"/>
    <w:link w:val="974"/>
    <w:uiPriority w:val="0"/>
    <w:qFormat/>
    <w:rPr>
      <w:rFonts w:ascii="Calibri" w:hAnsi="Calibri" w:eastAsia="宋体" w:cs="Times New Roman"/>
      <w:sz w:val="21"/>
      <w:szCs w:val="22"/>
    </w:rPr>
  </w:style>
  <w:style w:type="paragraph" w:styleId="1080"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1" w:customStyle="1">
    <w:name w:val="正文文本首行缩进 字符"/>
    <w:basedOn w:val="1056"/>
    <w:link w:val="935"/>
    <w:uiPriority w:val="0"/>
    <w:semiHidden/>
    <w:qFormat/>
    <w:rPr>
      <w:rFonts w:eastAsia="幼圆"/>
      <w:b w:val="0"/>
      <w:bCs w:val="0"/>
      <w:sz w:val="21"/>
      <w:szCs w:val="24"/>
    </w:rPr>
  </w:style>
  <w:style w:type="character" w:styleId="1082" w:customStyle="1">
    <w:name w:val="未处理的提及1"/>
    <w:basedOn w:val="899"/>
    <w:uiPriority w:val="99"/>
    <w:semiHidden/>
    <w:unhideWhenUsed/>
    <w:qFormat/>
    <w:rPr>
      <w:color w:val="605e5c"/>
      <w:shd w:val="clear" w:color="auto" w:fill="e1dfdd"/>
    </w:rPr>
  </w:style>
  <w:style w:type="paragraph" w:styleId="1083"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4">
    <w:name w:val="List Paragraph"/>
    <w:basedOn w:val="889"/>
    <w:uiPriority w:val="34"/>
    <w:qFormat/>
    <w:pPr>
      <w:ind w:firstLine="420"/>
    </w:pPr>
  </w:style>
  <w:style w:type="character" w:styleId="1085" w:customStyle="1">
    <w:name w:val="未处理的提及2"/>
    <w:basedOn w:val="899"/>
    <w:uiPriority w:val="99"/>
    <w:semiHidden/>
    <w:unhideWhenUsed/>
    <w:qFormat/>
    <w:rPr>
      <w:color w:val="605e5c"/>
      <w:shd w:val="clear" w:color="auto" w:fill="e1dfdd"/>
    </w:rPr>
  </w:style>
  <w:style w:type="paragraph" w:styleId="108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7"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8"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9"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0"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1" w:customStyle="1">
    <w:name w:val="正文缩进 字符"/>
    <w:link w:val="907"/>
    <w:uiPriority w:val="0"/>
    <w:qFormat/>
    <w:rPr>
      <w:b/>
      <w:sz w:val="24"/>
    </w:rPr>
  </w:style>
  <w:style w:type="paragraph" w:styleId="1092" w:customStyle="1">
    <w:name w:val="修订4"/>
    <w:hidden/>
    <w:uiPriority w:val="99"/>
    <w:unhideWhenUsed/>
    <w:qFormat/>
    <w:rPr>
      <w:rFonts w:ascii="Times New Roman" w:hAnsi="Times New Roman" w:eastAsia="宋体" w:cs="Times New Roman"/>
      <w:sz w:val="21"/>
      <w:szCs w:val="24"/>
      <w:lang w:val="en-US" w:eastAsia="zh-CN" w:bidi="ar-SA"/>
    </w:rPr>
  </w:style>
  <w:style w:type="table" w:styleId="1093" w:customStyle="1">
    <w:name w:val="网格型1"/>
    <w:basedOn w:val="1094"/>
    <w:uiPriority w:val="99"/>
    <w:unhideWhenUsed/>
    <w:qFormat/>
    <w:tblPr/>
  </w:style>
  <w:style w:type="table" w:styleId="1094" w:customStyle="1">
    <w:name w:val="普通表格1"/>
    <w:uiPriority w:val="99"/>
    <w:unhideWhenUsed/>
    <w:qFormat/>
    <w:tblPr>
      <w:tblCellMar>
        <w:left w:w="0" w:type="dxa"/>
        <w:top w:w="0" w:type="dxa"/>
        <w:right w:w="0" w:type="dxa"/>
        <w:bottom w:w="0" w:type="dxa"/>
      </w:tblCellMar>
    </w:tblPr>
  </w:style>
  <w:style w:type="paragraph" w:styleId="109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96"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6</cp:revision>
  <dcterms:created xsi:type="dcterms:W3CDTF">2025-11-18T00:45:00Z</dcterms:created>
  <dcterms:modified xsi:type="dcterms:W3CDTF">2025-11-18T10:05:21Z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